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CVE</w:t>
      </w:r>
      <w:r>
        <w:rPr>
          <w:rFonts w:ascii="Calibri" w:hAnsi="Calibri"/>
          <w:b/>
          <w:color w:val="1A2010"/>
          <w:sz w:val="40"/>
        </w:rPr>
        <w:t xml:space="preserve">  Cenovus Energy Inc.</w:t>
      </w:r>
    </w:p>
    <w:p>
      <w:pPr>
        <w:spacing w:after="120"/>
      </w:pPr>
      <w:r>
        <w:rPr>
          <w:rFonts w:ascii="Calibri" w:hAnsi="Calibri"/>
          <w:b/>
          <w:color w:val="6E8450"/>
          <w:sz w:val="18"/>
        </w:rPr>
        <w:t>DIVIDEND SLEEVE · 2026-10-08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NYQ · Canada</w:t>
      </w:r>
    </w:p>
    <w:p>
      <w:pPr>
        <w:spacing w:after="80"/>
      </w:pPr>
      <w:r>
        <w:rPr>
          <w:rFonts w:ascii="Calibri" w:hAnsi="Calibri"/>
          <w:b w:val="0"/>
          <w:color w:val="3A4A28"/>
          <w:sz w:val="20"/>
        </w:rPr>
        <w:t>Cenovus Energy Inc. is an integrated Canadian oil and natural gas company with operations spanning upstream production in Western Canada and offshore Newfoundland, downstream refining in both Canada and the United States, and natural gas production offshore China. Cenovus posted its strongest quarter to date in Q2 2026 with $2.87B net earnings ($1.53/share), $5.0B adjusted funds flow, and record production of 970,400 BOE/d, prompting an increase to full-year 2026 production guidance to 970,000–1,010,000 BOE/d [1].</w:t>
      </w:r>
    </w:p>
    <w:p>
      <w:r>
        <w:rPr>
          <w:rFonts w:ascii="Calibri" w:hAnsi="Calibri"/>
          <w:b/>
          <w:color w:val="6E8450"/>
          <w:sz w:val="18"/>
        </w:rPr>
        <w:t>7,211 Employees · https://www.cenovus.com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2021 Husky Energy merger remains the company's sole transformative event, creating an integrated upstream-downstream model with natural commodity hedging, but no new significant launches, business-model innovations, or market-defining pivots have occurred in the 5 years since [1][2]. AI Deployment (0/2): No specific AI-powered products or quantified AI-driven cost savings were identified; the company hosts an internal Innovation Summit bringing together roughly 2,000 employees on technology topics but has not produced disclosed AI deployment results [3]. Market Share (1/2): Cenovus is one of Canada's largest integrated energy producers with record production of 970,400 BOE/d in Q2 2026, but operates in a commodity market with minimal structural differentiation [1]. Product Pipeline (2/2): Management raised full-year 2026 production guidance to 970,000–1,010,000 BOE/d with capital investment guidance held at $5.0–5.3B and lowered unit-cost guidance across Oil Sands, Conventional, Asia Pacific, and Canadian Refining — specific, quantified operational visibility [1]. R&amp;D Intensity (1/1): CEO McKenzie has publicly tied cost-competitiveness ('producing a barrel of oil for similar costs as 5–10 years ago') directly to sustained innovation investment, above-average commitment for the integrated oil and gas sector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Cenovus's purpose of 'fueling the future' by developing energy resources safely, responsibly, and efficiently is clear and relevant but generic — most integrated energy companies use nearly identical language [3]. Community Impact (1/2): Cenovus maintains an 80% absolute methane emissions reduction target by 2028 (from a 2019 baseline), a net-zero-by-2050 ambition, and specific Indigenous engagement programs across Western Canadian operations, though a greenwashing complaint was filed with Alberta's securities regulator by Investors for Paris Compliance and the company scaled back ESG reporting in 2024 citing Competition Act changes [4]. Employee Retention (1/2): Culture described as professional, collaborative, and performance-driven with roughly 7,211 employees and an emphasis on safety and innovation through the Innovation Summit, but no specific retention or tenure metrics identified [3]. Insider Buying (0/2): CEO Jon McKenzie continued a pattern of net selling in 2026 — multiple share dispositions extending a 5-year record of 245 sells against only 17 buys — offering no personal conviction signal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dividend yield of 2.03% and 17 consecutive years of payments. D/E of 34.0% is well below the 70% target (score 1.0), reflecting aggressive post-merger deleveraging [1]. ROE of 20.9% exceeds the 15% target (score 1.0), and revenue growth of 41.5% YoY driven by record production and higher realized pricing far exceeds the 10% target (score 1.0) [1]. Forward P/E of 11.4x is deeply below the 20x target (score 1.0), indicating significant value. Profit margin of 12.4% falls short of the 20% target (score 0.62), reflecting the lower-margin downstream refining segment. The 5-year revenue CAGR of approximately 3.3% (score 0.55) is suppressed by the post-merger revenue volatility tied to crude pricing swings. Payout ratio of 22.8% is conservative (score 1.0), with 17 consecutive years of dividend payments (score 1.0, 2x weight), approximately 5 years of consecutive dividend growth since the post-pandemic restart (score 0.5), and dividend growth CAGR of approximately 30% (score 1.0, 2x weight). Daily dollar volume of $216M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Cenovus plays a predominantly finite game typical of an integrated oil sands producer. Record Q2 2026 results and raised production guidance reflect strong operational execution, and the Husky-driven integrated model provides genuine commodity-cycle resilience, but the company's core purpose statement remains generic industry language rather than a differentiated Just Cause, and CEO McKenzie's continued heavy net insider selling (245 sells vs. 17 buys over 5 years) is inconsistent with the kind of personal long-term conviction Sinek associates with infinite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'Fueling the future' attempts to bridge fossil fuel extraction with energy-transition aspirations but reads as corporate positioning rather than a genuine, distinctive Just Cause [3]. The statement describes the current business rather than an idealistic future state, and nearly every integrated energy peer uses comparable language. Strategic decisions are driven by production economics and capital allocation discipline, not by a cause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Cenovus's culture is described as professional, collaborative, and safety-focused, and the roughly 2,000-employee Innovation Summit signals cross-organizational engagement on technology and cost innovation [3]. CEO succession from Pourbaix to McKenzie in 2023 was orderly and internally groomed. However, no specific retention, tenure, or trust metrics were found to support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Cenovus's public commentary centers on operational execution, cost leadership, and shareholder returns rather than acknowledging specific competitors' strengths or framing rivalry as a source of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Husky merger remains the company's one meaningful strategic transformation, converting Cenovus from a pure upstream producer into an integrated model with refining diversification [1][2]. No further transformative pivot has occurred since, and the emissions targets represent incremental adaptation rather than a business-model-level shift.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2021 Husky Energy acquisition remains a genuinely courageous long-term bet made during pandemic-era uncertainty, and the 80% methane-reduction-by-2028 and net-zero-by-2050 targets represent real cost commitments [1][4]. However, these targets are now largely standard across Canadian oil sands peers, and management's 2026 focus has centered on operational execution and shareholder returns rather than new principled long-term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Cenovus at $30.63 with a $56.5B market cap delivered its strongest quarter to date in Q2 2026 — $2.87B net earnings ($1.53/share vs. $0.45 a year ago), $5.0B adjusted funds flow, and $3.8B free funds flow on record production of 970,400 BOE/d, with all-time high operating margin of $5.9B [1]. Revenue surged 41.5% YoY to $17.4B, and management raised full-year 2026 production guidance to 970,000–1,010,000 BOE/d while lowering unit-cost guidance across every major segment. The integrated upstream-downstream model provides natural hedging against commodity volatility, D/E of 34% and ROE of 20.9% reflect balance sheet strength and capital efficiency well above sector norms, and Forward P/E of 11.4x represents deep value with a 2.03% dividend yield supported by a conservative 22.8% payout ratio [1].</w:t>
      </w:r>
    </w:p>
    <w:p>
      <w:pPr>
        <w:spacing w:after="120"/>
      </w:pPr>
      <w:r>
        <w:rPr>
          <w:rFonts w:ascii="Calibri" w:hAnsi="Calibri"/>
          <w:b w:val="0"/>
          <w:color w:val="3A4A28"/>
          <w:sz w:val="20"/>
        </w:rPr>
        <w:t>The bear case centers on commodity dependence and a still-generic strategic identity. Despite record Q2 2026 results, the 5-year revenue CAGR of approximately 3.3% reflects that earnings remain tightly correlated to crude prices and refining spreads, with revenue swinging from $71.8B (2022) to $52.8B (2025) before the current rebound — illustrating the extreme cyclicality inherent in oil-price-dependent operations [1]. CEO Jon McKenzie's insider activity remains a persistent overhang, with 245 sells against only 17 buys over 5 years and multiple dispositions in 2026, offering no personal-conviction signal to offset the operational story [5]. A greenwashing complaint filed with Alberta's securities regulator and reduced ESG reporting raise reputational risk, particularly as institutional investors scrutinize fossil fuel disclosures [4]. The long-term energy transition toward renewables and electrification poses an existential question for oil sands producers whose assets have 30+ year operating lives, and profit margin of 12.4% trails the quality threshold due to the lower-margin downstream refining segment.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execution against raised 2026 production guidance (970,000–1,010,000 BOE/d) with lowered unit-cost targets across Oil Sands, Conventional, Asia Pacific, and Canadian Refining segments, driving margin expansion even in moderate commodity price environments [1]</w:t>
      </w:r>
    </w:p>
    <w:p>
      <w:pPr>
        <w:spacing w:before="40" w:after="40"/>
        <w:ind w:left="283"/>
      </w:pPr>
      <w:r>
        <w:rPr>
          <w:rFonts w:ascii="Calibri" w:hAnsi="Calibri"/>
          <w:b/>
          <w:color w:val="4A6B25"/>
          <w:sz w:val="20"/>
        </w:rPr>
        <w:t xml:space="preserve">2. </w:t>
      </w:r>
      <w:r>
        <w:rPr>
          <w:rFonts w:ascii="Calibri" w:hAnsi="Calibri"/>
          <w:b w:val="0"/>
          <w:color w:val="3A4A28"/>
          <w:sz w:val="20"/>
        </w:rPr>
        <w:t>Deep value at 11.4x forward earnings with aggressive capital returns — $3.8B quarterly free funds flow supports growing dividends (5 consecutive years of growth, ~30% CAGR) and meaningful share buybacks that compress the share count [1]</w:t>
      </w:r>
    </w:p>
    <w:p>
      <w:pPr>
        <w:spacing w:before="40" w:after="40"/>
        <w:ind w:left="283"/>
      </w:pPr>
      <w:r>
        <w:rPr>
          <w:rFonts w:ascii="Calibri" w:hAnsi="Calibri"/>
          <w:b/>
          <w:color w:val="4A6B25"/>
          <w:sz w:val="20"/>
        </w:rPr>
        <w:t xml:space="preserve">3. </w:t>
      </w:r>
      <w:r>
        <w:rPr>
          <w:rFonts w:ascii="Calibri" w:hAnsi="Calibri"/>
          <w:b w:val="0"/>
          <w:color w:val="3A4A28"/>
          <w:sz w:val="20"/>
        </w:rPr>
        <w:t>AI data center buildout driving structural increase in natural gas and electricity demand, positioning Cenovus's integrated energy operations as a net beneficiary of the computing infrastructure expansion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WTI crude price decline compressing upstream margins and free funds flow — revenue swung from $71.8B (2022) to $52.8B (2025) before the current rebound, demonstrating earnings vulnerability to commodity cycles [1]</w:t>
      </w:r>
    </w:p>
    <w:p>
      <w:pPr>
        <w:spacing w:before="40" w:after="40"/>
        <w:ind w:left="283"/>
      </w:pPr>
      <w:r>
        <w:rPr>
          <w:rFonts w:ascii="Calibri" w:hAnsi="Calibri"/>
          <w:b/>
          <w:color w:val="4A6B25"/>
          <w:sz w:val="20"/>
        </w:rPr>
        <w:t xml:space="preserve">2. </w:t>
      </w:r>
      <w:r>
        <w:rPr>
          <w:rFonts w:ascii="Calibri" w:hAnsi="Calibri"/>
          <w:b w:val="0"/>
          <w:color w:val="3A4A28"/>
          <w:sz w:val="20"/>
        </w:rPr>
        <w:t>Greenwashing regulatory risk — complaint filed with Alberta Securities Commission by Investors for Paris Compliance alleging misleading environmental disclosures, combined with reduced ESG reporting in 2024–2025, could trigger regulatory action or institutional investor divestment [4]</w:t>
      </w:r>
    </w:p>
    <w:p>
      <w:pPr>
        <w:spacing w:before="40" w:after="40"/>
        <w:ind w:left="283"/>
      </w:pPr>
      <w:r>
        <w:rPr>
          <w:rFonts w:ascii="Calibri" w:hAnsi="Calibri"/>
          <w:b/>
          <w:color w:val="4A6B25"/>
          <w:sz w:val="20"/>
        </w:rPr>
        <w:t xml:space="preserve">3. </w:t>
      </w:r>
      <w:r>
        <w:rPr>
          <w:rFonts w:ascii="Calibri" w:hAnsi="Calibri"/>
          <w:b w:val="0"/>
          <w:color w:val="3A4A28"/>
          <w:sz w:val="20"/>
        </w:rPr>
        <w:t>CEO McKenzie's persistent net insider selling (245 sells vs. 17 buys over 5 years, continued in 2026) offering no conviction signal even as operational results improve, suggesting leadership may not share the long-term confidence implied by the stock's valuation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 and gas extraction, refining, and integrated downstream operations are physical-world businesses that AI structurally cannot displace — Cenovus's oil sands production, refinery operations, and offshore assets require capital-intensive infrastructure, geological expertise, and regulatory compliance with no path to AI substitution [1]. AI is a demand tailwind rather than a threat: surging data center electricity demand from AI training and inference increases downstream demand for natural gas and refined fuels. The only meaningful long-term risk is AI-optimized energy efficiency or an accelerated renewables transition reducing fossil fuel demand over a multi-decade horizon. AI Opportunity (0/1): Cenovus does not generate revenue from AI products or services; any internal technology use supports operational optimization rather than a monetized offering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Cenovus Energy Q2 2026 Results — $17.4B Revenue (+41% YoY), $2.87B Net Earnings ($1.53/share), Record $5.9B Operating Margin, Production Raised to 970K–1.01M BOE/d — Barchart, ccentral.ca, July-August 2026</w:t>
      </w:r>
    </w:p>
    <w:p>
      <w:pPr>
        <w:spacing w:before="20" w:after="20"/>
        <w:ind w:left="170"/>
      </w:pPr>
      <w:r>
        <w:rPr>
          <w:rFonts w:ascii="Calibri" w:hAnsi="Calibri"/>
          <w:b/>
          <w:color w:val="4A6B25"/>
          <w:sz w:val="15"/>
        </w:rPr>
        <w:t xml:space="preserve">2. </w:t>
      </w:r>
      <w:r>
        <w:rPr>
          <w:rFonts w:ascii="Calibri" w:hAnsi="Calibri"/>
          <w:b w:val="0"/>
          <w:color w:val="3A4A28"/>
          <w:sz w:val="17"/>
        </w:rPr>
        <w:t>Cenovus Energy Corporate History — Husky Energy Merger and Integration, 2021–2026</w:t>
      </w:r>
    </w:p>
    <w:p>
      <w:pPr>
        <w:spacing w:before="20" w:after="20"/>
        <w:ind w:left="170"/>
      </w:pPr>
      <w:r>
        <w:rPr>
          <w:rFonts w:ascii="Calibri" w:hAnsi="Calibri"/>
          <w:b/>
          <w:color w:val="4A6B25"/>
          <w:sz w:val="15"/>
        </w:rPr>
        <w:t xml:space="preserve">3. </w:t>
      </w:r>
      <w:r>
        <w:rPr>
          <w:rFonts w:ascii="Calibri" w:hAnsi="Calibri"/>
          <w:b w:val="0"/>
          <w:color w:val="3A4A28"/>
          <w:sz w:val="17"/>
        </w:rPr>
        <w:t>Cenovus Energy Corporate Website — Innovation Summit, Leadership Team, CEO Jon McKenzie, Mission and Values — Cenovus.com, 2023–2026</w:t>
      </w:r>
    </w:p>
    <w:p>
      <w:pPr>
        <w:spacing w:before="20" w:after="20"/>
        <w:ind w:left="170"/>
      </w:pPr>
      <w:r>
        <w:rPr>
          <w:rFonts w:ascii="Calibri" w:hAnsi="Calibri"/>
          <w:b/>
          <w:color w:val="4A6B25"/>
          <w:sz w:val="15"/>
        </w:rPr>
        <w:t xml:space="preserve">4. </w:t>
      </w:r>
      <w:r>
        <w:rPr>
          <w:rFonts w:ascii="Calibri" w:hAnsi="Calibri"/>
          <w:b w:val="0"/>
          <w:color w:val="3A4A28"/>
          <w:sz w:val="17"/>
        </w:rPr>
        <w:t>Cenovus Energy ESG — Greenwashing Complaint Filed by Investors for Paris Compliance, Reduced ESG Reporting Under Competition Act Changes, Methane Reduction Targets, Net-Zero 2050 — Investment Executive, Cenovus.com, 2024–2026</w:t>
      </w:r>
    </w:p>
    <w:p>
      <w:pPr>
        <w:spacing w:before="20" w:after="20"/>
        <w:ind w:left="170"/>
      </w:pPr>
      <w:r>
        <w:rPr>
          <w:rFonts w:ascii="Calibri" w:hAnsi="Calibri"/>
          <w:b/>
          <w:color w:val="4A6B25"/>
          <w:sz w:val="15"/>
        </w:rPr>
        <w:t xml:space="preserve">5. </w:t>
      </w:r>
      <w:r>
        <w:rPr>
          <w:rFonts w:ascii="Calibri" w:hAnsi="Calibri"/>
          <w:b w:val="0"/>
          <w:color w:val="3A4A28"/>
          <w:sz w:val="17"/>
        </w:rPr>
        <w:t>CEO Jon McKenzie Insider Trading Activity — 245 Sells vs. 17 Buys Over 5 Years, Multiple 2026 Dispositions — GuruFocus, MarketBeat,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