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CVGI</w:t>
      </w:r>
      <w:r>
        <w:rPr>
          <w:rFonts w:ascii="Calibri" w:hAnsi="Calibri"/>
          <w:b/>
          <w:color w:val="1A2010"/>
          <w:sz w:val="40"/>
        </w:rPr>
        <w:t xml:space="preserve">  Commercial Vehicle Group, Inc.</w:t>
      </w:r>
    </w:p>
    <w:p>
      <w:pPr>
        <w:spacing w:after="120"/>
      </w:pPr>
      <w:r>
        <w:rPr>
          <w:rFonts w:ascii="Calibri" w:hAnsi="Calibri"/>
          <w:b/>
          <w:color w:val="6E8450"/>
          <w:sz w:val="18"/>
        </w:rPr>
        <w:t>GROWTH SLEEVE · 2026-09-29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Auto Parts &amp; Equipment · NASDAQ · United States</w:t>
      </w:r>
    </w:p>
    <w:p>
      <w:pPr>
        <w:spacing w:after="80"/>
      </w:pPr>
      <w:r>
        <w:rPr>
          <w:rFonts w:ascii="Calibri" w:hAnsi="Calibri"/>
          <w:b w:val="0"/>
          <w:color w:val="3A4A28"/>
          <w:sz w:val="20"/>
        </w:rPr>
        <w:t>Commercial Vehicle Group designs, manufactures, and sells components and assemblies for the global commercial vehicle market through three segments: Vehicle Solutions (seats, trim, mirrors, wipers), Electrical Systems (wire harnesses, panel assemblies, cable assemblies), and Aftermarket &amp; Accessories. Serves major OEMs including PACCAR, Daimler Truck, Navistar, and Volvo. Q2 2026 revenue surged 13.5% to $195.2M and full-year guidance was raised to $725-755M (~14% growth). Headquartered in New Albany, Ohio.</w:t>
      </w:r>
    </w:p>
    <w:p>
      <w:r>
        <w:rPr>
          <w:rFonts w:ascii="Calibri" w:hAnsi="Calibri"/>
          <w:b/>
          <w:color w:val="6E8450"/>
          <w:sz w:val="18"/>
        </w:rPr>
        <w:t>6,100 Employees · https://www.cvgrp.com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CVG introduced the STACC (Stacked, Tote, Automated, Conveyance Cube) automation prototype targeting micro-fulfillment markets, representing a modest extension beyond core commercial vehicle parts [1][2]. The Global Electrical Systems segment grew 13.9% in Q1 2026 and was a key driver of Q2's 13.5% revenue surge, demonstrating successful diversification into vehicle electrification [1]. The Zoox autonomous vehicle program is ramping and contributing meaningful revenue. However, the core business model — manufacturing seats, trim, and harnesses for OEMs — has not fundamentally changed. AI Deployment (0/2): No AI-powered products or AI-driven cost savings reported; the STACC prototype involves automation but no disclosed AI capabilities [2]. Market Share (1/2): CVG is a meaningful Tier 1 supplier to major commercial vehicle OEMs but holds no dominant market position in any product category, competing against larger, better-capitalized suppliers [1]. Product Pipeline (1/2): Raised 2026 guidance reflects successful new business wins across all three segments, including Zoox and EMEA programs, showing a productive pipeline [1]. R&amp;D Intensity (0/1): No evidence of above-average R&amp;D spending relative to auto parts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CVG's stated purpose centers on 'delivering innovative solutions for the commercial vehicle market' — a generic industry positioning statement interchangeable with any Tier 1 auto parts supplier, lacking deeper purpose or vision [3]. Community Impact (0/2): Published its first ESG report in 2022 with company-wide environmental and labor policies, but no specific charitable programs, community investment amounts, or distinctive initiatives were identified [4]. Employee Retention (0/2): Glassdoor rating of 3.2/5 based on 112 reviews, below average for industrials. Employees describe 'tone deaf leadership,' 'absent leadership,' 'poor management, lack of growth opportunities, below average salary,' and some segment VPs who believe 'leadership is yelling until you get the answer you want' [3]. Insider Buying (1/2): New CEO James Ray (appointed December 2023) also serves as Interim EVP of Global Operations, showing hands-on engagement, but no meaningful net insider buying activity reported.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Q2 2026 revenue grew 13.5% to $195.2M and full-year guidance was raised to $725-755M (~14% growth), with adjusted EBITDA guidance of $26-31M representing ~60% YoY growth [1]. Revenue growth YoY of 13.5% exceeds the 10% target (score 1.0). Forward P/E of 19.3 is just below the 20 target (score ~1.0). D/E of 107.6% is above the 70% target but well below the 300% floor (score 0.84). However, the company remains unprofitable with TTM net loss, ROE of -15.1% (score 0.0, 2x weight for Growth), and profit margin of -3.4% (score 0.0) [5]. PEG ratio unavailable; 5-year revenue CAGR estimated near 2% reflects mixed long-term trajectory (score 0.47, 2x weight). Daily dollar volume of $1.12M passes the liquidity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CVG exhibits a predominantly finite game mindset despite recent operational improvement under CEO James Ray (appointed December 2023). The company raised guidance and is winning new programs (Zoox, EMEA), showing some strategic momentum. However, Glassdoor reviews reveal a low-trust culture, historical COVID-era executive compensation decisions undermined employee alignment, and leadership communications focus exclusively on financial metrics rather than an enduring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CVG articulates purpose in terms of market position and product delivery rather than a vision of a better future. Leadership communications in earnings releases focus exclusively on financial metrics — revenue growth, margin improvement, EBITDA targets — with no reference to a higher purpose or enduring cause [1]. The company exists to supply parts to commercial vehicle OEMs, a necessary function but not an inspiring cause that would survive industry disruption.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3.2/5 with concerning qualitative feedback — employees describe 'tone deaf leadership and communication,' leadership that believes 'yelling' is management, and 'poor management, lack of growth opportunities, below average salary' [3]. During COVID, executive compensation decisions reportedly enriched leadership while cutting employee pay by 20%, severely undermining organizational trust. New CEO James Ray's dual role as Interim EVP Operations suggests a hands-on leadership style but also management bench depth concerns.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CVG competes against larger, better-capitalized suppliers like Aptiv, Lear, and Gentherm without publicly articulating what it learns from their strengths [1]. Management commentary focuses on winning new business rather than using competitive pressure as a catalyst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CVG has shown meaningful flexibility by diversifying into the Electrical Systems segment, which grew 13.9% in Q1 2026 and is becoming an increasingly important growth driver as commercial vehicles electrify [1]. The Zoox autonomous vehicle program represents a bet on future mobility platforms. The STACC automation prototype explores beyond core vehicle components into micro-fulfillment [2]. These are genuine strategic extensions, though the core business model remains traditional OEM parts supply.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James Ray's decision to raise full-year guidance to $725-755M amid uncertain commercial vehicle demand shows some boldness, and taking the dual role of Interim EVP Operations demonstrates willingness to personally drive operational improvement [1]. However, the company's financial profile — persistent losses, -3.4% profit margin, elevated leverage — reflects years of incremental management rather than bold strategic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CVG's Q2 2026 results showed genuine momentum — revenue surged 13.5% to $195.2M with growth across all three segments, and management raised full-year guidance to $725-755M (~14% growth) with adjusted EBITDA of $26-31M (~60% growth) [1]. The Electrical Systems segment is emerging as a secular growth driver benefiting from commercial vehicle electrification, and the Zoox autonomous vehicle program is ramping meaningful revenue. At 0.16x price-to-sales and a forward P/E of 19.3 with a $120M market cap, the stock is valued at deep-discount levels that could reward patient investors if the profitability turnaround materializes.</w:t>
      </w:r>
    </w:p>
    <w:p>
      <w:pPr>
        <w:spacing w:after="120"/>
      </w:pPr>
      <w:r>
        <w:rPr>
          <w:rFonts w:ascii="Calibri" w:hAnsi="Calibri"/>
          <w:b w:val="0"/>
          <w:color w:val="3A4A28"/>
          <w:sz w:val="20"/>
        </w:rPr>
        <w:t>The fundamental problem is that CVG cannot yet generate sustainable profits. TTM net loss persists with ROE of -15.1% and profit margin of -3.4%, reflecting a business still unprofitable despite 13.5% revenue growth [5]. Debt-to-EBITDA remains elevated for a cyclical industrial with thin margins, creating refinancing risk if commercial vehicle demand softens. The stock declined from $3.63 to $2.96 since August despite raised guidance, suggesting market skepticism about the durability of profitability improvement. Glassdoor's documented leadership culture issues and the COVID-era compensation decisions create talent retention risk [3]. With a $120M market cap, the stock remains in micro-cap territory with limited institutional support and elevated volatility.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FY2026 guidance of $725-755M revenue (~14% growth) and $26-31M adjusted EBITDA (~60% growth) reflects strong order momentum across all segments, particularly Zoox and EMEA wins [1]</w:t>
      </w:r>
    </w:p>
    <w:p>
      <w:pPr>
        <w:spacing w:before="40" w:after="40"/>
        <w:ind w:left="283"/>
      </w:pPr>
      <w:r>
        <w:rPr>
          <w:rFonts w:ascii="Calibri" w:hAnsi="Calibri"/>
          <w:b/>
          <w:color w:val="4A6B25"/>
          <w:sz w:val="20"/>
        </w:rPr>
        <w:t xml:space="preserve">2. </w:t>
      </w:r>
      <w:r>
        <w:rPr>
          <w:rFonts w:ascii="Calibri" w:hAnsi="Calibri"/>
          <w:b w:val="0"/>
          <w:color w:val="3A4A28"/>
          <w:sz w:val="20"/>
        </w:rPr>
        <w:t>Electrical Systems segment growth accelerating as OEMs increase electrification content per vehicle, potentially shifting CVG's revenue mix toward higher-margin electrical assemblies [1]</w:t>
      </w:r>
    </w:p>
    <w:p>
      <w:pPr>
        <w:spacing w:before="40" w:after="40"/>
        <w:ind w:left="283"/>
      </w:pPr>
      <w:r>
        <w:rPr>
          <w:rFonts w:ascii="Calibri" w:hAnsi="Calibri"/>
          <w:b/>
          <w:color w:val="4A6B25"/>
          <w:sz w:val="20"/>
        </w:rPr>
        <w:t xml:space="preserve">3. </w:t>
      </w:r>
      <w:r>
        <w:rPr>
          <w:rFonts w:ascii="Calibri" w:hAnsi="Calibri"/>
          <w:b w:val="0"/>
          <w:color w:val="3A4A28"/>
          <w:sz w:val="20"/>
        </w:rPr>
        <w:t>Gross margin expansion continuing from operational efficiency improvements could drive the company toward sustainable GAAP profitability within 12-18 months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 TTM net loss with -3.4% profit margin despite 13.5% revenue growth suggests structural cost issues that top-line growth alone may not solve [5]</w:t>
      </w:r>
    </w:p>
    <w:p>
      <w:pPr>
        <w:spacing w:before="40" w:after="40"/>
        <w:ind w:left="283"/>
      </w:pPr>
      <w:r>
        <w:rPr>
          <w:rFonts w:ascii="Calibri" w:hAnsi="Calibri"/>
          <w:b/>
          <w:color w:val="4A6B25"/>
          <w:sz w:val="20"/>
        </w:rPr>
        <w:t xml:space="preserve">2. </w:t>
      </w:r>
      <w:r>
        <w:rPr>
          <w:rFonts w:ascii="Calibri" w:hAnsi="Calibri"/>
          <w:b w:val="0"/>
          <w:color w:val="3A4A28"/>
          <w:sz w:val="20"/>
        </w:rPr>
        <w:t>Elevated leverage and cyclical exposure create significant financial risk if commercial vehicle production enters a downcycle, with potential covenant or refinancing pressure [5]</w:t>
      </w:r>
    </w:p>
    <w:p>
      <w:pPr>
        <w:spacing w:before="40" w:after="40"/>
        <w:ind w:left="283"/>
      </w:pPr>
      <w:r>
        <w:rPr>
          <w:rFonts w:ascii="Calibri" w:hAnsi="Calibri"/>
          <w:b/>
          <w:color w:val="4A6B25"/>
          <w:sz w:val="20"/>
        </w:rPr>
        <w:t xml:space="preserve">3. </w:t>
      </w:r>
      <w:r>
        <w:rPr>
          <w:rFonts w:ascii="Calibri" w:hAnsi="Calibri"/>
          <w:b w:val="0"/>
          <w:color w:val="3A4A28"/>
          <w:sz w:val="20"/>
        </w:rPr>
        <w:t>Documented culture and leadership issues including employee reports of 'tone deaf' management and historical executive self-dealing create retention risk in a competitive labor market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CVG's core business — manufacturing physical vehicle components including seats, trim assemblies, wire harnesses, and electrical systems — is structurally protected from direct AI substitution [1]. These products require physical fabrication, assembly, and OEM qualification processes that create meaningful switching costs. However, the transition to autonomous vehicles (CVG is already a Zoox supplier) could reshape demand for traditional cab interior components as driver-focused features become less relevant. AI-driven manufacturing optimization by larger competitors (Aptiv, Lear) could pressure CVG's cost position. The commercial vehicle industry is being reshaped by electrification and autonomy trends that favor technologically advanced suppliers. AI Opportunity (0/1): No AI-related revenue or operationally deployed AI. The STACC automation prototype generates no revenue and has no disclosed AI capabilities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Commercial Vehicle Group Q2 2026 Earnings Release and Raised Guidance — Nasdaq/BusinessWire, August 2026</w:t>
      </w:r>
    </w:p>
    <w:p>
      <w:pPr>
        <w:spacing w:before="20" w:after="20"/>
        <w:ind w:left="170"/>
      </w:pPr>
      <w:r>
        <w:rPr>
          <w:rFonts w:ascii="Calibri" w:hAnsi="Calibri"/>
          <w:b/>
          <w:color w:val="4A6B25"/>
          <w:sz w:val="15"/>
        </w:rPr>
        <w:t xml:space="preserve">2. </w:t>
      </w:r>
      <w:r>
        <w:rPr>
          <w:rFonts w:ascii="Calibri" w:hAnsi="Calibri"/>
          <w:b w:val="0"/>
          <w:color w:val="3A4A28"/>
          <w:sz w:val="17"/>
        </w:rPr>
        <w:t>Commercial Vehicle Group Q1 2026 Earnings Release — SEC Form 8-K, May 2026</w:t>
      </w:r>
    </w:p>
    <w:p>
      <w:pPr>
        <w:spacing w:before="20" w:after="20"/>
        <w:ind w:left="170"/>
      </w:pPr>
      <w:r>
        <w:rPr>
          <w:rFonts w:ascii="Calibri" w:hAnsi="Calibri"/>
          <w:b/>
          <w:color w:val="4A6B25"/>
          <w:sz w:val="15"/>
        </w:rPr>
        <w:t xml:space="preserve">3. </w:t>
      </w:r>
      <w:r>
        <w:rPr>
          <w:rFonts w:ascii="Calibri" w:hAnsi="Calibri"/>
          <w:b w:val="0"/>
          <w:color w:val="3A4A28"/>
          <w:sz w:val="17"/>
        </w:rPr>
        <w:t>Glassdoor — Commercial Vehicle Group Employee Reviews (112 reviews, 3.2/5.0),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Commercial Vehicle Group 2022 ESG Report and SEC DEF 14A Filings</w:t>
      </w:r>
    </w:p>
    <w:p>
      <w:pPr>
        <w:spacing w:before="20" w:after="20"/>
        <w:ind w:left="170"/>
      </w:pPr>
      <w:r>
        <w:rPr>
          <w:rFonts w:ascii="Calibri" w:hAnsi="Calibri"/>
          <w:b/>
          <w:color w:val="4A6B25"/>
          <w:sz w:val="15"/>
        </w:rPr>
        <w:t xml:space="preserve">5. </w:t>
      </w:r>
      <w:r>
        <w:rPr>
          <w:rFonts w:ascii="Calibri" w:hAnsi="Calibri"/>
          <w:b w:val="0"/>
          <w:color w:val="3A4A28"/>
          <w:sz w:val="17"/>
        </w:rPr>
        <w:t>Yahoo Finance — CVGI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