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CVI</w:t>
      </w:r>
      <w:r>
        <w:rPr>
          <w:rFonts w:ascii="Calibri" w:hAnsi="Calibri"/>
          <w:b/>
          <w:color w:val="1A2010"/>
          <w:sz w:val="40"/>
        </w:rPr>
        <w:t xml:space="preserve">  CVR Energy, Inc.</w:t>
      </w:r>
    </w:p>
    <w:p>
      <w:pPr>
        <w:spacing w:after="120"/>
      </w:pPr>
      <w:r>
        <w:rPr>
          <w:rFonts w:ascii="Calibri" w:hAnsi="Calibri"/>
          <w:b/>
          <w:color w:val="6E8450"/>
          <w:sz w:val="18"/>
        </w:rPr>
        <w:t>GROWTH SLEEVE · 2026-09-19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United States</w:t>
      </w:r>
    </w:p>
    <w:p>
      <w:pPr>
        <w:spacing w:after="80"/>
      </w:pPr>
      <w:r>
        <w:rPr>
          <w:rFonts w:ascii="Calibri" w:hAnsi="Calibri"/>
          <w:b w:val="0"/>
          <w:color w:val="3A4A28"/>
          <w:sz w:val="20"/>
        </w:rPr>
        <w:t>CVR Energy, Inc. operates two business segments: petroleum refining (CVR Refining, two refineries with ~206,500 bpd throughput capacity in Coffeyville, KS and Wynnewood, OK) and nitrogen fertilizer manufacturing (CVR Partners LP, two facilities producing urea ammonium nitrate and ammonia). The company is majority-owned by Icahn Enterprises LP. CEO Dane Neumann was promoted from CFO in June 2026 after Mark Pytosh resigned for personal reasons. Q2 2026 revenue was $2.74B (+55.5% YoY) with adjusted EBITDA of $209M (+111% YoY), driven by stronger refining margins and fertilizer pricing. Market cap is approximately $5.4B.</w:t>
      </w:r>
    </w:p>
    <w:p>
      <w:r>
        <w:rPr>
          <w:rFonts w:ascii="Calibri" w:hAnsi="Calibri"/>
          <w:b/>
          <w:color w:val="6E8450"/>
          <w:sz w:val="18"/>
        </w:rPr>
        <w:t>2,100 Employees · https://www.cvrenergy.com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CVR Energy has added renewable diesel production capacity at its Wynnewood refinery, representing an incremental expansion into lower-carbon fuels alongside traditional petroleum refining [1]. However, this is a modest product extension rather than a transformative business pivot — the company remains fundamentally a Midcontinent petroleum refiner and fertilizer producer. AI Deployment (0/2): No AI-powered products or operational AI efficiencies reported. The company's 10-K filing references AI only in the context of cybersecurity risks from more sophisticated AI-driven phishing attacks [2]. Market Share (0/2): CVR Energy operates two refineries with ~206,500 bpd of combined throughput capacity, representing a small fraction of U.S. refining capacity. The company is not a category leader or share gainer in refining or fertilizers. Product Pipeline (0/2): No next-generation products with specific timelines and revenue visibility. The fertilizer and refining businesses are commodity operations without product differentiation. R&amp;D Intensity (0/1): Petroleum refiners and fertilizer manufacturers do not typically invest in R&amp;D beyond process optimization. No R&amp;D spending data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CVR Energy's stated purpose references 'fostering a culture of innovation and sustainability within the organization,' which is generic corporate boilerplate interchangeable with any industrial company [2]. The company is majority-owned by Icahn Enterprises, and its strategic direction is primarily driven by activist investor Carl Icahn's value-oriented approach rather than an articulated higher purpose. Community Impact (0/2): No evidence of significant charitable programs, community investment, or foundation-level giving beyond standard corporate disclosures. Employee Retention (0/2): Glassdoor rating of 3.3/5 stars with culture rating down 8% over the past 12 months — below the energy industry average [2]. This suggests declining employee sentiment and does not indicate above-average retention. Insider Buying (0/2): Carl Icahn's majority ownership through Icahn Enterprises is structural, not conviction-driven insider buying. No evidence of open-market insider purchases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(PEG excluded — null from yfinance). CVR Energy scores well on Forward P/E (17.72x, below the 20x target) and ROE (24.25%, above the 15% target, amplified by leverage) [4]. Q2 2026 revenue growth of 55.5% YoY reflects the refining margin recovery, with adjusted EPS of $0.34 beating consensus of $0.12 by $0.22 [1]. The primary drags are very high D/E (241.8%, vs 70% target), razor-thin profit margin (0.81%, vs 20% target reflecting the commodity nature of refining), and an estimated flat 5-year revenue CAGR (~1%) given volatile oil prices over the period. The trailing P/E of 77.8x reflects depressed recent earnings but is offset by the strong forward estimate. The stock clears the liquidity floor with ~$56.9M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CVR Energy is a quintessential finite player. The company is majority-owned by activist investor Carl Icahn through Icahn Enterprises, and its strategic orientation is fundamentally about extracting value — optimizing refining margins, managing the capital structure, and returning cash to shareholders through variable dividends. There is no articulated Just Cause, no evidence of courageous long-term investment in future capabilities, and declining employee sentiment (Glassdoor culture down 8% over 12 months). The CEO transition from Mark Pytosh to Dane Neumann in June 2026 was abrupt ('personal reasons'), suggesting organizational instability rather than thoughtful succession planning.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CVR Energy has no articulated Just Cause. The company exists to refine petroleum products and manufacture fertilizer for the financial benefit of its majority owner, Icahn Enterprises. There is no vision of a future state that transcends the current commodity business, no purpose that would inspire sacrifice, and no mission that endures beyond quarterly financial optimization [2]. The Icahn ownership structure inherently prioritizes financial returns over any broader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CVR Energy maintains a workforce of approximately 2,100 employees operating complex refining and fertilizer facilities, which requires baseline operational trust and safety culture. Glassdoor's 3.3/5 rating is below the energy industry average, and the culture &amp; values score has declined 8% over the past 12 months [2]. However, the company's operations require specialized chemical engineering and process safety expertise, suggesting functional trust within operational teams even if broader organizational culture is average. The abrupt CEO departure in June 2026 introduces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CVR Energy's competitive positioning is defined by geography (Midcontinent refining), feedstock advantages (access to discounted crude), and cost efficiency rather than by learning from competitors' strengths. The Icahn ownership model focuses on financial returns rather than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CVR Energy has operated the same petroleum refining and nitrogen fertilizer business model throughout its history. The renewable diesel addition at Wynnewood is an incremental product extension, not a transformative strategic pivot [1]. The company has not demonstrated willingness to fundamentally reinvent itself — it remains a Midcontinent refiner owned by an activist investor, operating the same assets with the same basic strategy.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in service of a greater purpose. The variable dividend policy returns cash when margins are strong and suspends it when margins are weak — rational financial management but not courageous long-term investment. The CEO transition from Pytosh to Neumann appears unplanned ('personal reasons') rather than a deliberate succession in service of a cause [2]. Capital allocation is dictated by Icahn Enterprises' return requirements rather than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CVR Energy's Q2 2026 results showed a dramatic recovery, with revenue of $2.74B (+55.5% YoY), adjusted EBITDA of $209M (+111% YoY), and adjusted EPS of $0.34 beating consensus of $0.12 by $0.22, driving a 10.8% share price surge [1]. Forward P/E of 17.72x is reasonable for a cyclical energy company, and ROE of 24.25% demonstrates the leveraged refining model can generate strong returns when margins cooperate. The dual petroleum refining and nitrogen fertilizer segments provide some revenue diversification, and $737M in cash provides financial flexibility. The Inspire Impact Score of 44 (ALIGNED) with no negative attributions and positive marks for Energy Management and GHG Emissions is unusual for a refiner. Consensus estimates of $7.19B revenue and $1.73 EPS for 2026 suggest meaningful earnings recovery.</w:t>
      </w:r>
    </w:p>
    <w:p>
      <w:pPr>
        <w:spacing w:after="120"/>
      </w:pPr>
      <w:r>
        <w:rPr>
          <w:rFonts w:ascii="Calibri" w:hAnsi="Calibri"/>
          <w:b w:val="0"/>
          <w:color w:val="3A4A28"/>
          <w:sz w:val="20"/>
        </w:rPr>
        <w:t>The bear case centers on cyclicality, leverage, and governance. CVR Energy's thin profit margin of 0.81% reveals the commodity nature of refining — margins are entirely dependent on crack spreads and crude oil differentials that can collapse rapidly, as demonstrated by the prior period of losses that preceded the Q2 recovery [1][4]. D/E of 241.8% amplifies both upside and downside, creating significant financial risk during inevitable margin downturns. The Icahn Enterprises majority ownership (controlling shareholder) means minority shareholders have limited governance influence, and the variable dividend policy provides no income reliability. The abrupt CEO departure of Mark Pytosh in June 2026 ('personal reasons') and rapid promotion of CFO Dane Neumann raises succession quality questions [2]. Declining Glassdoor culture scores (down 8% YoY) suggest employee morale issues. The company has zero innovation, no AI strategy, and no articulated purpose beyond financial returns — it is a commodity capital allocation vehicle, not a purpose-driven enterprise.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refining margin improvement driven by tight U.S. refinery capacity, growing fuel demand, and Midcontinent crude discount advantages could drive earnings above the $1.73 consensus EPS estimate for 2026 [1]</w:t>
      </w:r>
    </w:p>
    <w:p>
      <w:pPr>
        <w:spacing w:before="40" w:after="40"/>
        <w:ind w:left="283"/>
      </w:pPr>
      <w:r>
        <w:rPr>
          <w:rFonts w:ascii="Calibri" w:hAnsi="Calibri"/>
          <w:b/>
          <w:color w:val="4A6B25"/>
          <w:sz w:val="20"/>
        </w:rPr>
        <w:t xml:space="preserve">2. </w:t>
      </w:r>
      <w:r>
        <w:rPr>
          <w:rFonts w:ascii="Calibri" w:hAnsi="Calibri"/>
          <w:b w:val="0"/>
          <w:color w:val="3A4A28"/>
          <w:sz w:val="20"/>
        </w:rPr>
        <w:t>Nitrogen fertilizer segment benefits from strong agricultural demand and elevated fertilizer prices, providing a counter-cyclical revenue stream when refining margins weaken</w:t>
      </w:r>
    </w:p>
    <w:p>
      <w:pPr>
        <w:spacing w:before="40" w:after="40"/>
        <w:ind w:left="283"/>
      </w:pPr>
      <w:r>
        <w:rPr>
          <w:rFonts w:ascii="Calibri" w:hAnsi="Calibri"/>
          <w:b/>
          <w:color w:val="4A6B25"/>
          <w:sz w:val="20"/>
        </w:rPr>
        <w:t xml:space="preserve">3. </w:t>
      </w:r>
      <w:r>
        <w:rPr>
          <w:rFonts w:ascii="Calibri" w:hAnsi="Calibri"/>
          <w:b w:val="0"/>
          <w:color w:val="3A4A28"/>
          <w:sz w:val="20"/>
        </w:rPr>
        <w:t>Dividend reinstatement and $737M cash position could support significant shareholder returns if margins remain favorable through fiscal 2026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cyclicality — CVR Energy's 0.81% profit margin means even modest declines in crack spreads or widening of crude differentials can swing earnings to losses, as occurred prior to the Q2 2026 recovery [4]</w:t>
      </w:r>
    </w:p>
    <w:p>
      <w:pPr>
        <w:spacing w:before="40" w:after="40"/>
        <w:ind w:left="283"/>
      </w:pPr>
      <w:r>
        <w:rPr>
          <w:rFonts w:ascii="Calibri" w:hAnsi="Calibri"/>
          <w:b/>
          <w:color w:val="4A6B25"/>
          <w:sz w:val="20"/>
        </w:rPr>
        <w:t xml:space="preserve">2. </w:t>
      </w:r>
      <w:r>
        <w:rPr>
          <w:rFonts w:ascii="Calibri" w:hAnsi="Calibri"/>
          <w:b w:val="0"/>
          <w:color w:val="3A4A28"/>
          <w:sz w:val="20"/>
        </w:rPr>
        <w:t>High leverage (D/E 241.8%) amplifies margin compression risk and constrains strategic flexibility during downturns, while the variable dividend provides no income floor for shareholders [4]</w:t>
      </w:r>
    </w:p>
    <w:p>
      <w:pPr>
        <w:spacing w:before="40" w:after="40"/>
        <w:ind w:left="283"/>
      </w:pPr>
      <w:r>
        <w:rPr>
          <w:rFonts w:ascii="Calibri" w:hAnsi="Calibri"/>
          <w:b/>
          <w:color w:val="4A6B25"/>
          <w:sz w:val="20"/>
        </w:rPr>
        <w:t xml:space="preserve">3. </w:t>
      </w:r>
      <w:r>
        <w:rPr>
          <w:rFonts w:ascii="Calibri" w:hAnsi="Calibri"/>
          <w:b w:val="0"/>
          <w:color w:val="3A4A28"/>
          <w:sz w:val="20"/>
        </w:rPr>
        <w:t>Icahn Enterprises controlling ownership creates governance risk for minority shareholders, and the abrupt CEO transition in June 2026 raises questions about organizational stability and strategic continuity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CVR Energy's core businesses — petroleum refining and nitrogen fertilizer manufacturing — are physical-world industrial operations that AI structurally cannot displace. Refining crude oil into gasoline, diesel, and jet fuel requires massive capital-intensive infrastructure (two refineries with 206,500 bpd capacity), complex chemical processes, and regulatory compliance that no AI system can replicate [1]. Nitrogen fertilizer production (urea ammonium nitrate, ammonia) is similarly a physical-chemical process requiring specialized plants and distribution infrastructure. AI may incrementally enhance refinery operations (process optimization, predictive maintenance, yield management) but these are efficiency tools that benefit the business rather than threatening it. Growing AI data center energy demand could indirectly increase demand for refined fuels and power generation, further insulating the business. No analysts have flagged AI as a disruption risk for CVR Energy. AI Opportunity (0/1): No AI-related revenue. The company does not generate any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CVR Energy Q2 2026 Earnings — Revenue $2.74B (+55.5% YoY), Adjusted EBITDA $209M, Adjusted EPS $0.34 (beat $0.12 consensus), $737M cash, dividend reinstated, July 2026</w:t>
      </w:r>
    </w:p>
    <w:p>
      <w:pPr>
        <w:spacing w:before="20" w:after="20"/>
        <w:ind w:left="170"/>
      </w:pPr>
      <w:r>
        <w:rPr>
          <w:rFonts w:ascii="Calibri" w:hAnsi="Calibri"/>
          <w:b/>
          <w:color w:val="4A6B25"/>
          <w:sz w:val="15"/>
        </w:rPr>
        <w:t xml:space="preserve">2. </w:t>
      </w:r>
      <w:r>
        <w:rPr>
          <w:rFonts w:ascii="Calibri" w:hAnsi="Calibri"/>
          <w:b w:val="0"/>
          <w:color w:val="3A4A28"/>
          <w:sz w:val="17"/>
        </w:rPr>
        <w:t>CVR Energy Leadership &amp; Culture — CEO Dane Neumann (promoted from CFO June 2026, replacing Mark Pytosh), Glassdoor 3.3/5 (culture down 8% YoY), Icahn Enterprises majority owner, 2026</w:t>
      </w:r>
    </w:p>
    <w:p>
      <w:pPr>
        <w:spacing w:before="20" w:after="20"/>
        <w:ind w:left="170"/>
      </w:pPr>
      <w:r>
        <w:rPr>
          <w:rFonts w:ascii="Calibri" w:hAnsi="Calibri"/>
          <w:b/>
          <w:color w:val="4A6B25"/>
          <w:sz w:val="15"/>
        </w:rPr>
        <w:t xml:space="preserve">3. </w:t>
      </w:r>
      <w:r>
        <w:rPr>
          <w:rFonts w:ascii="Calibri" w:hAnsi="Calibri"/>
          <w:b w:val="0"/>
          <w:color w:val="3A4A28"/>
          <w:sz w:val="17"/>
        </w:rPr>
        <w:t>CVR Energy ESG &amp; Regulatory — Environmental justice scrutiny, AI cybersecurity risk acknowledgment in 10-K filings, standard fossil fuel ESG concerns,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CVI Key Statistics: Forward P/E 17.72x, D/E 241.8%, ROE 24.25%, Profit Margin 0.81%, Stock Price $53.69,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