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CVS</w:t>
      </w:r>
      <w:r>
        <w:rPr>
          <w:rFonts w:ascii="Calibri" w:hAnsi="Calibri"/>
          <w:b/>
          <w:color w:val="1A2010"/>
          <w:sz w:val="40"/>
        </w:rPr>
        <w:t xml:space="preserve">  CVS Health Corporation</w:t>
      </w:r>
    </w:p>
    <w:p>
      <w:pPr>
        <w:spacing w:after="120"/>
      </w:pPr>
      <w:r>
        <w:rPr>
          <w:rFonts w:ascii="Calibri" w:hAnsi="Calibri"/>
          <w:b/>
          <w:color w:val="6E8450"/>
          <w:sz w:val="18"/>
        </w:rPr>
        <w:t>DIVIDEND SLEEVE · 2026-10-09 · Inspire: -83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NYSE · United States</w:t>
      </w:r>
    </w:p>
    <w:p>
      <w:pPr>
        <w:spacing w:after="80"/>
      </w:pPr>
      <w:r>
        <w:rPr>
          <w:rFonts w:ascii="Calibri" w:hAnsi="Calibri"/>
          <w:b w:val="0"/>
          <w:color w:val="3A4A28"/>
          <w:sz w:val="20"/>
        </w:rPr>
        <w:t>CVS Health is an integrated healthcare company operating through Health Care Benefits (Aetna, top-3 U.S. insurer), Health Services (Caremark PBM, #1 by prescription volume), Pharmacy &amp; Consumer Wellness (largest U.S. pharmacy chain, ~9,000 stores), and Health Care Delivery (Oak Street Health). Q2 2026 revenue was $106.1B (+7.3% YoY) with adjusted EPS of $2.58 versus $1.81 a year earlier, as the Aetna insurance segment recovers from 2024 medical cost overruns [1]. Full-year 2026 adjusted EPS guidance raised to $7.90-$8.10. Market cap approximately $112B at $87.80 per share.</w:t>
      </w:r>
    </w:p>
    <w:p>
      <w:r>
        <w:rPr>
          <w:rFonts w:ascii="Calibri" w:hAnsi="Calibri"/>
          <w:b/>
          <w:color w:val="6E8450"/>
          <w:sz w:val="18"/>
        </w:rPr>
        <w:t>219,000 Employees · https://www.cvshealth.com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CVS executed a transformative business model pivot from retail pharmacy chain to vertically integrated health company through the $69B Aetna acquisition (2018), $8B Signify Health (2022), and $10.6B Oak Street Health (2023), creating a unique payor-provider-pharmacy model in U.S. healthcare [1][2]. While execution has been uneven — Aetna MBR spiked in 2024 and three CEO changes occurred in three years — Q2 2026 showed turnaround momentum with adjusted operating income up 35.4% to $5.2B and Healthcare Delivery revenues surging 23% YoY. AI Deployment (1/2): CVS deploys AI for claims processing, pharmacy operations, and patient care coordination, with AI tools returning approximately 90 minutes per day to Aetna nurses for care gap closure and call center AI handling complex calls 20-30% faster [2]. No external AI revenue stream has been reported. Market Share (2/2): CVS holds category leadership across all pillars — largest U.S. pharmacy chain by store count (~9,000 locations), #1 PBM by prescription volume (Caremark processes 2B+ annual prescriptions), and Aetna serves 46M+ medical members as a top-3 health insurer [1]. Product Pipeline (1/2): Oak Street Health clinic expansion toward 700+ locations, Cordavis biosimilar unit, $20B tech modernization plan with AI virtual care managers, and HealthHUBs represent a visible pipeline, though specific growth targets and timelines remain vague [2]. R&amp;D Intensity (0/1): As a healthcare services company, CVS does not report traditional R&amp;D expenditure; technology investment is substantial ($20B plan) but classified within SG&amp;A.</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CVS Health's stated purpose — 'Bringing our heart to every moment of your health' — is clear in identifying what the company does and for whom, but is not distinctive enough to differentiate from any large healthcare company [3]. The 2014 decision to remove tobacco from all stores, sacrificing $2B in annual revenue, demonstrated the mission had teeth, but the statement itself reads as marketing rather than a transformative Just Cause. Community Impact (1/2): CVS Health Foundation and Project Health have provided $160M+ in free health screenings, MinuteClinic expands healthcare access to underserved communities, and the company committed $5B over 10 years in opioid settlement payments reflecting responsibility for its role in the crisis [3]. Meaningful programs but typical of large healthcare corporations. Employee Retention (0/2): Three CEO changes in three years — Larry Merlo to Karen Lynch (2021), Lynch ousted for David Joyner (October 2024) — signals leadership instability. Glassdoor reviews cite change fatigue, metrics-driven pressure, and morale challenges from store closures [2]. No specific retention data distinguishes CVS from industry norms. Insider Buying (0/2): Insider transactions show net selling — Director Larry Robbins sold $317M in May 2026, CTO Tilak Mandadi sold $6.2M; all other recent transactions were compensation-related stock grants, not open-market 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CVS's standout strength is an extremely low Forward P/E of 10.3 (score 1.0), reflecting the market's discounted view of the turnaround despite full-year 2026 adjusted EPS guidance of $7.90-$8.10 [1]. Revenue growth of 7.1% YoY (score 0.90) and estimated 5-year revenue CAGR of 8.0% (score 0.87) reflect consistent top-line expansion through acquisitions. D/E of 95.5% (score 0.89) is manageable for a healthcare conglomerate carrying acquisition-related debt. Consecutive years of dividend payment (~25 years, score 1.0, 2x weight) and 5-year dividend growth CAGR of 5.9% (score 0.98, 2x weight) anchor the dividend profile, though growth was frozen 2018-2021 post-Aetna and has stalled again in 2025 at $2.66/share (consecutive growth years = 0, score 0.0). The key weaknesses are profit margin of just 1.2% (score 0.06) reflecting razor-thin pharmacy and PBM economics, and ROE of 6.2% (score 0.41) lagging the 15% target due to the massive goodwill base from acquisitions. Payout ratio of 70% (score 0.50) is elevated. Daily dollar volume of $699M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CVS Health exhibits finite competitive posture — the bold Aetna acquisition and tobacco removal demonstrate occasional courage, but three CEO changes in three years, relentless focus on quarterly EPS recovery, and serial acquisition-driven growth without a deeply embedded Just Cause suggest a company playing to win the next quarter rather than to endure for decades. Sinek would note that the leadership instability and financial engineering — cost cuts, restructuring charges, dividend freezes — reflect finite thinking prioritizing near-term results over long-term organizational capability.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CVS Health articulates a health-focused purpose, and the 2014 tobacco removal ($2B annual revenue sacrifice) demonstrated the mission could drive costly strategic decisions [3]. However, the purpose has not been consistently validated through decades of execution — the company has oscillated between retail pharmacy, PBM consolidation, and payor-provider integration without a unifying cause that transcends any single business model. Frequent leadership changes undermine whether this cause is institutionally embedded or dependent on individual CEOs.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CEO transitions in three years — Merlo to Lynch (2021), Lynch ousted for Joyner (October 2024) under activist pressure from Glenview Capital — creates organizational instability antithetical to Sinek's Circle of Safety [2]. The board-driven CEO removal signals governance optimized for financial returns over organizational stability. With 219,000 employees across retail, clinical, and corporate functions, constant restructuring and 'turnaround' messaging creates uncertainty that undermines psychological safety. Glassdoor reviews cite change fatigue and metrics-driven pressure.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CVS management has explicitly acknowledged UnitedHealth Group's Optum as the gold standard for vertical integration in healthcare, framing its own payor-provider strategy as an effort to match Optum's integrated model rather than as a war to win [2]. The Oak Street Health and Signify Health acquisitions were directly inspired by UnitedHealth's success with value-based care, suggesting CVS uses competitive pressure to improve its own capabilities rather than focusing on destroying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$69B Aetna acquisition (2018) was a transformative pivot from pharmacy retailer to integrated healthcare company — one of the boldest strategic bets in healthcare history [1]. The subsequent Oak Street Health acquisition ($10.6B) extended the strategy into value-based primary care delivery. The $20B tech modernization plan represents another strategic evolution. However, the transformations were driven more by competitive pressure (UnitedHealth's Optum model) and market dynamics than by a deeply held Just Cause, and execution has been rocky enough to question whether the flexibility was strategic or reactive.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2014 decision to stop selling tobacco at ~9,000 pharmacy locations, sacrificing $2B in annual revenue, remains one of the most cited examples of corporate courage in U.S. retail [3]. The $69B Aetna acquisition and $10.6B Oak Street Health deal were bold long-term bets that fundamentally changed the company. However, recent leadership has focused on cost cuts, restructuring, and near-term EPS recovery rather than transformative investment. The dividend freeze from 2018-2021 and again in 2025 reflects prioritization of debt reduction over shareholder rewards.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CVS Health at $87.80 trades at just 10.3x forward earnings on full-year 2026 adjusted EPS guidance of $7.90-$8.10, representing deep value for a company generating $413B in annual revenue with category leadership across pharmacy retail, PBM, and health insurance [1]. The turnaround under CEO David Joyner is gaining traction — Q2 2026 adjusted EPS of $2.58 versus $1.81 a year earlier reflects Aetna's medical cost recovery with Health Care Benefits adjusted operating income surging 85.5%, Health Services grew 11.5% YoY to $51.8B, and Oak Street Health's healthcare delivery segment surged 23% as value-based care clinics scale toward 700+ locations [1]. The integrated model — 9,000+ pharmacies, 46M+ Aetna medical members, 2B+ annual Caremark prescriptions — creates cross-selling opportunities and data advantages that pure-play competitors cannot replicate, while the $20B tech modernization plan targets AI-driven operational efficiency [2].</w:t>
      </w:r>
    </w:p>
    <w:p>
      <w:pPr>
        <w:spacing w:after="120"/>
      </w:pPr>
      <w:r>
        <w:rPr>
          <w:rFonts w:ascii="Calibri" w:hAnsi="Calibri"/>
          <w:b w:val="0"/>
          <w:color w:val="3A4A28"/>
          <w:sz w:val="20"/>
        </w:rPr>
        <w:t>The bear case centers on structural profitability challenges, regulatory risk, and leadership instability. Net profit margin of just 1.2% and ROE of 6.2% are well below healthcare sector averages, reflecting the commoditized economics of pharmacy retail and PBM businesses burdened by $62B+ in acquisition-related goodwill [1]. Three CEO changes in three years signal governance instability, and the 70% payout ratio on a $2.66 annual dividend leaves little margin of safety if earnings disappoint — the dividend has been frozen since 2024, repeating the 2018-2021 freeze pattern. PBM reform legislation remains a regulatory overhang, with bipartisan Congressional interest in increasing PBM transparency threatening Caremark's spread-pricing model. Amazon Pharmacy's expansion into same-day prescription delivery in 30+ cities pressures the retail pharmacy moat, while UnitedHealth's Optum remains a better-capitalized competitor in the integrated health space. The $5B opioid settlement (10-year payments) plus DOJ False Claims Act litigation create ongoing legal overhang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Aetna margin recovery driving adjusted EPS toward $8.00+ in FY2026 — Health Care Benefits AOI surged 85.5% in Q2 with MBR improving to 87.4%, and Medicare Advantage Star ratings improvements could unlock premium revenue uplift in 2027 [1]</w:t>
      </w:r>
    </w:p>
    <w:p>
      <w:pPr>
        <w:spacing w:before="40" w:after="40"/>
        <w:ind w:left="283"/>
      </w:pPr>
      <w:r>
        <w:rPr>
          <w:rFonts w:ascii="Calibri" w:hAnsi="Calibri"/>
          <w:b/>
          <w:color w:val="4A6B25"/>
          <w:sz w:val="20"/>
        </w:rPr>
        <w:t xml:space="preserve">2. </w:t>
      </w:r>
      <w:r>
        <w:rPr>
          <w:rFonts w:ascii="Calibri" w:hAnsi="Calibri"/>
          <w:b w:val="0"/>
          <w:color w:val="3A4A28"/>
          <w:sz w:val="20"/>
        </w:rPr>
        <w:t>Oak Street Health clinic expansion from ~350 to 700+ locations creates a value-based care delivery platform with improving unit economics as Healthcare Delivery segment revenue surged 23% YoY in Q2 2026 [1]</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potential at 10.3x forward earnings — healthcare peers UnitedHealth and Elevance trade at 15-20x forward earnings, implying 45-90% upside if CVS demonstrates sustained execution of its integrated health model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PBM reform legislation threatening Caremark's spread-pricing model as bipartisan Congressional pressure increases — potential margin compression on CVS's highest-margin business segment could eliminate thin 1.2% net margin [2]</w:t>
      </w:r>
    </w:p>
    <w:p>
      <w:pPr>
        <w:spacing w:before="40" w:after="40"/>
        <w:ind w:left="283"/>
      </w:pPr>
      <w:r>
        <w:rPr>
          <w:rFonts w:ascii="Calibri" w:hAnsi="Calibri"/>
          <w:b/>
          <w:color w:val="4A6B25"/>
          <w:sz w:val="20"/>
        </w:rPr>
        <w:t xml:space="preserve">2. </w:t>
      </w:r>
      <w:r>
        <w:rPr>
          <w:rFonts w:ascii="Calibri" w:hAnsi="Calibri"/>
          <w:b w:val="0"/>
          <w:color w:val="3A4A28"/>
          <w:sz w:val="20"/>
        </w:rPr>
        <w:t>Amazon Pharmacy expansion into same-day delivery in 30+ U.S. cities and digital-first prescription management directly threatens the retail pharmacy foot traffic model underpinning CVS's 9,000-store network [3]</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three CEO changes in three years undermines strategic continuity — Joyner's turnaround requires multi-year execution while the board has demonstrated willingness to change course under activist pressure from Glenview Capital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CVS Health's core businesses are structurally protected from AI displacement — physical pharmacy dispensing requires licensed pharmacists and physical locations, health insurance is deeply regulated with complex actuarial and compliance requirements, and the PBM business involves intricate multi-party contractual relationships [1][2]. However, the company faces meaningful AI exposure in middle-office operations: claims processing, prior authorizations, utilization management, and administrative workflows could be significantly streamlined by AI tools from competitors like UnitedHealth's Optum, potentially compressing CVS's cost advantage. AI-native startups in healthcare administration could disrupt PBM and insurance back-office operations, though regulatory moats and scale provide protection. Telehealth AI and AI-powered diagnostics could reduce MinuteClinic visit volumes [2]. AI Opportunity (0/1): CVS deploys AI tools internally for operational efficiency (nurse productivity +90 min/day, call center +20-30% faster), but these are cost-reduction initiatives rather than revenue-generating AI products or services — no quantifiable AI revenue stream has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CVS Health Q2 2026 Earnings Release — Revenue $106.1B (+7.3% YoY), Adjusted EPS $2.58, Health Services +11.5%, Healthcare Delivery +23%, Full-Year Guidance $7.90-$8.10, Quartr and Hudson Labs, August 2026</w:t>
      </w:r>
    </w:p>
    <w:p>
      <w:pPr>
        <w:spacing w:before="20" w:after="20"/>
        <w:ind w:left="170"/>
      </w:pPr>
      <w:r>
        <w:rPr>
          <w:rFonts w:ascii="Calibri" w:hAnsi="Calibri"/>
          <w:b/>
          <w:color w:val="4A6B25"/>
          <w:sz w:val="15"/>
        </w:rPr>
        <w:t xml:space="preserve">2. </w:t>
      </w:r>
      <w:r>
        <w:rPr>
          <w:rFonts w:ascii="Calibri" w:hAnsi="Calibri"/>
          <w:b w:val="0"/>
          <w:color w:val="3A4A28"/>
          <w:sz w:val="17"/>
        </w:rPr>
        <w:t>CVS Health Leadership and AI Strategy — CEO David Joyner, $20B Tech Modernization, AI Nurse Tools +90 min/day, Call Center AI +20-30%, Healthcare Dive, Fortune, 2025-2026</w:t>
      </w:r>
    </w:p>
    <w:p>
      <w:pPr>
        <w:spacing w:before="20" w:after="20"/>
        <w:ind w:left="170"/>
      </w:pPr>
      <w:r>
        <w:rPr>
          <w:rFonts w:ascii="Calibri" w:hAnsi="Calibri"/>
          <w:b/>
          <w:color w:val="4A6B25"/>
          <w:sz w:val="15"/>
        </w:rPr>
        <w:t xml:space="preserve">3. </w:t>
      </w:r>
      <w:r>
        <w:rPr>
          <w:rFonts w:ascii="Calibri" w:hAnsi="Calibri"/>
          <w:b w:val="0"/>
          <w:color w:val="3A4A28"/>
          <w:sz w:val="17"/>
        </w:rPr>
        <w:t>CVS Health Opioid Litigation and Competitive Landscape — $5B Settlement, DOJ False Claims Act, Amazon Pharmacy Expansion, 2023-2026</w:t>
      </w:r>
    </w:p>
    <w:p>
      <w:pPr>
        <w:spacing w:before="20" w:after="20"/>
        <w:ind w:left="170"/>
      </w:pPr>
      <w:r>
        <w:rPr>
          <w:rFonts w:ascii="Calibri" w:hAnsi="Calibri"/>
          <w:b/>
          <w:color w:val="4A6B25"/>
          <w:sz w:val="15"/>
        </w:rPr>
        <w:t xml:space="preserve">4. </w:t>
      </w:r>
      <w:r>
        <w:rPr>
          <w:rFonts w:ascii="Calibri" w:hAnsi="Calibri"/>
          <w:b w:val="0"/>
          <w:color w:val="3A4A28"/>
          <w:sz w:val="17"/>
        </w:rPr>
        <w:t>CVS Health ESG and Sustainability — Sustainalytics ESG Risk Score 22.0, Community Health Programs, Project Health Screenings, Yahoo Finance,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