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CWAN</w:t>
      </w:r>
      <w:r>
        <w:rPr>
          <w:rFonts w:ascii="Calibri" w:hAnsi="Calibri"/>
          <w:b/>
          <w:color w:val="1A2010"/>
          <w:sz w:val="40"/>
        </w:rPr>
        <w:t xml:space="preserve">  Clearwater Analytics Holdings, Inc.</w:t>
      </w:r>
    </w:p>
    <w:p>
      <w:pPr>
        <w:spacing w:after="120"/>
      </w:pPr>
      <w:r>
        <w:rPr>
          <w:rFonts w:ascii="Calibri" w:hAnsi="Calibri"/>
          <w:b/>
          <w:color w:val="6E8450"/>
          <w:sz w:val="18"/>
        </w:rPr>
        <w:t>GROWTH SLEEVE · 2026-08-28 · Inspire: 51 · MIXED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F8E1" w:val="clear"/>
          </w:tcPr>
          <w:p>
            <w:pPr>
              <w:spacing w:before="40" w:after="40"/>
              <w:jc w:val="center"/>
            </w:pPr>
            <w:r>
              <w:rPr>
                <w:rFonts w:ascii="Calibri" w:hAnsi="Calibri"/>
                <w:b/>
                <w:color w:val="D97706"/>
                <w:sz w:val="20"/>
              </w:rPr>
              <w:t>HOLD</w:t>
            </w:r>
          </w:p>
        </w:tc>
      </w:tr>
    </w:tbl>
    <w:p>
      <w:pPr>
        <w:spacing w:before="120" w:after="200"/>
      </w:pPr>
      <w:r>
        <w:rPr>
          <w:rFonts w:ascii="Calibri" w:hAnsi="Calibri"/>
          <w:b/>
          <w:color w:val="1A2010"/>
          <w:sz w:val="80"/>
        </w:rPr>
        <w:t>60</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Technology · Software - Application · NYSE · United States</w:t>
      </w:r>
    </w:p>
    <w:p>
      <w:pPr>
        <w:spacing w:after="80"/>
      </w:pPr>
      <w:r>
        <w:rPr>
          <w:rFonts w:ascii="Calibri" w:hAnsi="Calibri"/>
          <w:b w:val="0"/>
          <w:color w:val="3A4A28"/>
          <w:sz w:val="20"/>
        </w:rPr>
        <w:t>Clearwater Analytics provides cloud-native investment management, accounting, and reporting solutions for institutional investors, serving insurance companies, asset managers, corporations, and governments. The company automates investment data aggregation, reconciliation, accounting, compliance, and reporting across all asset classes. Acquired by Permira/Warburg Pincus-led consortium for $8.4B ($24.55/share), with the deal closing June 25, 2026 and the stock delisted from NYSE.</w:t>
      </w:r>
    </w:p>
    <w:p>
      <w:r>
        <w:rPr>
          <w:rFonts w:ascii="Calibri" w:hAnsi="Calibri"/>
          <w:b/>
          <w:color w:val="6E8450"/>
          <w:sz w:val="18"/>
        </w:rPr>
        <w:t>1,100 Employees · https://clearwateranalytics.com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Clearwater completed two transformative acquisitions in 2025 — Enfusion for $1.5B and Beacon — which expanded the platform from pure investment accounting into front-to-back-office investment management, opening significant new revenue streams and driving ARR from $493M to $872M in twelve months [1][2]. AI Deployment (1/2): Clearwater GPT is shipping to clients, enabling natural-language queries across portfolio, trading, and accounting data, with AI-powered domain specialists deployed to streamline investment operations, though no specific revenue or cost savings have been publicly quantified [1][3]. Market Share (2/2): Category leader in cloud-native investment accounting and analytics with ARR of $872M (up 77% YoY), gross retention of 97-98%, and net revenue retention of 108%, demonstrating both dominant positioning and meaningful expansion within the existing client base [1][2]. Product Pipeline (1/2): AI-driven domain specialists and expanded post-acquisition platform capabilities are in active development, with COO Subi Sethi elevated specifically to drive AI-powered operational innovation, though specific launch timelines and revenue projections have not been disclosed [3]. R&amp;D Intensity (1/1): As a SaaS-pure technology company, Clearwater invests significantly in engineering and product development, consistent with top-quartile R&amp;D intensity for fintech peers [5].</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(3/4): Clearwater's purpose — making investment data transparent, accessible, and actionable for institutional investors — reflects genuine intentionality and differentiates from generic fintech mission statements; the platform's focus on eliminating manual reconciliation and enabling real-time decision-making connects the work to a larger purpose of modernizing an underserved corner of financial infrastructure [5]. Community Impact (0/2): No evidence of significant charitable programs, foundation activity, or community investment initiatives was found in public materials or SEC filings [5][6]. Employee Retention (1/2): Stable leadership under CEO Sandeep Sahai since 2018 with key executive promotions including Subi Sethi to COO and Michael Blendu to CAO, and the company emphasizes a culture of 'responsibility, accountability, and excellence,' though no specific turnover or tenure data is publicly available [3]. Insider Buying (0/2): No meaningful net insider buying was identified in the twelve months preceding the go-private transaction, which makes assessment difficult given the acquisition context where insider activity is constrained by regulatory blackout periods [4].</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available metrics. Q1 2026 delivered $221.2M revenue (up 74% YoY) with non-GAAP gross margin of 78% and adjusted EBITDA margin of 35% ($77.4M), demonstrating rapid scaling post-acquisitions [1]. D/E of 42% is well below the 70% target, reflecting a conservatively leveraged balance sheet. Revenue growth of 74% YoY and an estimated 40% 5-year CAGR significantly exceed targets, both scoring 1.0. Forward PEG of approximately 0.47 (based on 34.7x forward P/E against ~74% growth rate) is well below the 1.0 target, scoring 1.0 at 2x weight [5]. Key weaknesses include negative ROE of -2.63% and negative profit margin of -6.05% on a trailing GAAP basis, both scoring 0.0, reflecting ongoing investment in platform integration and acquisition-related costs [2]. Liquidity floor cleared: 4.7M avg volume x $24.29 = $113.9M daily dollar volume [5].</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B8860B"/>
          <w:sz w:val="22"/>
        </w:rPr>
        <w:t>MIXED</w:t>
      </w:r>
      <w:r>
        <w:rPr>
          <w:rFonts w:ascii="Calibri" w:hAnsi="Calibri"/>
          <w:b w:val="0"/>
          <w:color w:val="6E8450"/>
          <w:sz w:val="22"/>
        </w:rPr>
        <w:t xml:space="preserve">      Overall: </w:t>
      </w:r>
      <w:r>
        <w:rPr>
          <w:rFonts w:ascii="Calibri" w:hAnsi="Calibri"/>
          <w:b/>
          <w:color w:val="B8860B"/>
          <w:sz w:val="28"/>
        </w:rPr>
        <w:t>6</w:t>
      </w:r>
      <w:r>
        <w:rPr>
          <w:rFonts w:ascii="Calibri" w:hAnsi="Calibri"/>
          <w:b w:val="0"/>
          <w:color w:val="9DAF88"/>
          <w:sz w:val="18"/>
        </w:rPr>
        <w:t xml:space="preserve"> /10</w:t>
      </w:r>
    </w:p>
    <w:p>
      <w:pPr>
        <w:spacing w:after="120"/>
      </w:pPr>
      <w:r>
        <w:rPr>
          <w:rFonts w:ascii="Calibri" w:hAnsi="Calibri"/>
          <w:b w:val="0"/>
          <w:color w:val="3A4A28"/>
          <w:sz w:val="18"/>
        </w:rPr>
        <w:t>Clearwater under Sandeep Sahai demonstrates a blend of infinite and finite thinking. The company has pursued a genuine vision of modernizing investment data infrastructure and shown willingness to make bold acquisitions to advance that mission, but the go-private transaction raises questions about whether the long-term vision will survive under private equity ownership optimized for financial returns. Leadership stability since 2018 and meaningful platform evolution suggest infinite tendencies, while the lack of a deeply articulated purpose beyond the functional and the PE-driven ownership structure suggest finite game dynamics may increasingly dominate.</w:t>
      </w:r>
    </w:p>
    <w:p>
      <w:pPr>
        <w:spacing w:before="200" w:after="40"/>
      </w:pPr>
      <w:r>
        <w:rPr>
          <w:rFonts w:ascii="Calibri" w:hAnsi="Calibri"/>
          <w:b/>
          <w:color w:val="1A2010"/>
          <w:sz w:val="22"/>
        </w:rPr>
        <w:t>Just Cause</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(2/3): Clearwater has a genuine purpose — democratizing access to transparent, real-time investment data for institutional investors — that connects the company's work to a larger vision of modernizing financial infrastructure [5]. Under Sahai's leadership since 2018, strategic decisions including the Enfusion and Beacon acquisitions clearly trace back to building a comprehensive investment management platform rather than pursuing disconnected revenue opportunities. However, the purpose has not been tested through multi-decade consistency or major crises, and the go-private transaction by Permira/Warburg Pincus introduces uncertainty about whether the cause will survive PE ownership [4].</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Clearwater has maintained stable leadership under CEO Sahai since 2018, with key executives promoted from within including COO Subi Sethi and CAO Michael Blendu, suggesting an organization that develops and retains talent [3]. The company emphasizes a culture of 'responsibility, accountability, and excellence.' However, no specific turnover data, employee tenure metrics, or evidence of exceptional psychological safety or empowerment is publicly available, making it difficult to score above adequate trust for the industry.</w:t>
      </w:r>
    </w:p>
    <w:p>
      <w:pPr>
        <w:spacing w:before="200" w:after="40"/>
      </w:pPr>
      <w:r>
        <w:rPr>
          <w:rFonts w:ascii="Calibri" w:hAnsi="Calibri"/>
          <w:b/>
          <w:color w:val="1A2010"/>
          <w:sz w:val="22"/>
        </w:rPr>
        <w:t>Worthy Rivals</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(1/1): Clearwater competes against formidable rivals including Bloomberg and BlackRock Aladdin, and the company's competitive posture focuses on building a superior cloud-native platform rather than denigrating competitors [5]. The acquisitions of Enfusion and Beacon can be interpreted as acknowledging competitors' strengths in areas where Clearwater lacked capability and responding by improving the platform rather than simply trying to 'win' on existing terms. Management commentary focuses on expanding capabilities and serving clients better rather than destroying competition.</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Clearwater evolved meaningfully from a pure investment accounting platform to a comprehensive front-to-back-office investment management solution through the Enfusion and Beacon acquisitions, entering adjacent markets and significantly expanding the platform's scope [1][2]. This represents genuine strategic evolution in service of the broader vision. However, the changes were incremental extensions of the existing platform rather than a transformative reinvention of the core business model, and the company has not yet faced the kind of existential test that would demonstrate willingness to abandon what works in service of something fundamentally new.</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The Enfusion acquisition for $1.5B in 2025 was a bold bet that roughly doubled the company's addressable market by moving from back-office accounting into front-to-back-office investment management [2]. Accepting the go-private deal at $24.55/share can also be viewed as a willingness to invest for the long term without quarterly earnings pressure [4]. However, these decisions were made from a position of strength (77% ARR growth, strong client retention) rather than requiring sacrifice during adversity, and the PE ownership structure introduces questions about whether long-term capability will be prioritized over financial engineering and a near-term exit.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Clearwater Analytics delivered exceptional Q1 2026 results with $221.2M revenue (up 74% YoY), $872M ARR (up 77% YoY), and adjusted EBITDA of $77.4M at a 35% margin, demonstrating that the Enfusion and Beacon acquisitions are scaling rapidly and the combined platform is gaining traction with institutional investors [1]. Gross retention of 97-98% and net revenue retention of 108% confirm that clients are deeply embedded and expanding usage. The go-private transaction at $24.55/share provides certainty of value and allows the company to invest aggressively in AI-powered capabilities (including Clearwater GPT) and platform integration without quarterly earnings pressure, potentially accelerating the long-term vision of becoming the dominant cloud-native investment management platform [4].</w:t>
      </w:r>
    </w:p>
    <w:p>
      <w:pPr>
        <w:spacing w:after="120"/>
      </w:pPr>
      <w:r>
        <w:rPr>
          <w:rFonts w:ascii="Calibri" w:hAnsi="Calibri"/>
          <w:b w:val="0"/>
          <w:color w:val="3A4A28"/>
          <w:sz w:val="20"/>
        </w:rPr>
        <w:t>The primary concern is that the go-private transaction, closed June 25, 2026, eliminates public market liquidity and transparency — investors holding CWAN in the IOWN portfolio received $24.55/share and the position is effectively closed [4]. From an analytical perspective, GAAP profitability remains negative (-6.05% net margin, -2.63% ROE) despite strong adjusted metrics, reflecting ongoing acquisition integration costs and stock-based compensation [2][5]. Forward P/E of 34.7x is elevated relative to the 20x target, though the sub-1.0 PEG ratio of 0.47 suggests the 74% growth rate justifies the multiple. The key structural risk is that private equity ownership by Permira/Warburg Pincus may prioritize financial returns over the long-term platform vision, potentially leading to cost cuts, debt loading, or a premature re-IPO that undermines the infinite game thesis [4]. Additionally, AI substitution risk is material — as generative AI matures, portions of Clearwater's data aggregation and reporting capabilities could face competition from lower-cost AI-native alternatives deployed by better-resourced competitors like Bloomberg and BlackRock.</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Post-acquisition platform integration enabling cross-sell of Enfusion front-office and Clearwater back-office capabilities to a combined client base, with management targeting 20%+ annual revenue growth going forward [1][2]</w:t>
      </w:r>
    </w:p>
    <w:p>
      <w:pPr>
        <w:spacing w:before="40" w:after="40"/>
        <w:ind w:left="283"/>
      </w:pPr>
      <w:r>
        <w:rPr>
          <w:rFonts w:ascii="Calibri" w:hAnsi="Calibri"/>
          <w:b/>
          <w:color w:val="4A6B25"/>
          <w:sz w:val="20"/>
        </w:rPr>
        <w:t xml:space="preserve">2. </w:t>
      </w:r>
      <w:r>
        <w:rPr>
          <w:rFonts w:ascii="Calibri" w:hAnsi="Calibri"/>
          <w:b w:val="0"/>
          <w:color w:val="3A4A28"/>
          <w:sz w:val="20"/>
        </w:rPr>
        <w:t>Clearwater GPT and AI-powered domain specialists driving deeper client engagement and operational efficiency, potentially becoming a competitive differentiator against legacy competitors like Bloomberg and BlackRock Aladdin [1][3]</w:t>
      </w:r>
    </w:p>
    <w:p>
      <w:pPr>
        <w:spacing w:before="40" w:after="40"/>
        <w:ind w:left="283"/>
      </w:pPr>
      <w:r>
        <w:rPr>
          <w:rFonts w:ascii="Calibri" w:hAnsi="Calibri"/>
          <w:b/>
          <w:color w:val="4A6B25"/>
          <w:sz w:val="20"/>
        </w:rPr>
        <w:t xml:space="preserve">3. </w:t>
      </w:r>
      <w:r>
        <w:rPr>
          <w:rFonts w:ascii="Calibri" w:hAnsi="Calibri"/>
          <w:b w:val="0"/>
          <w:color w:val="3A4A28"/>
          <w:sz w:val="20"/>
        </w:rPr>
        <w:t>Go-private structure under Permira/Warburg Pincus allowing multi-year investment in product development and international expansion without quarterly earnings pressure, with potential for a re-IPO at a higher valuation in 3-5 years [4]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Private equity ownership by Permira/Warburg Pincus introduces financial engineering risk — debt loading, aggressive cost optimization, or a premature exit could undermine platform investment and long-term client trust [4]</w:t>
      </w:r>
    </w:p>
    <w:p>
      <w:pPr>
        <w:spacing w:before="40" w:after="40"/>
        <w:ind w:left="283"/>
      </w:pPr>
      <w:r>
        <w:rPr>
          <w:rFonts w:ascii="Calibri" w:hAnsi="Calibri"/>
          <w:b/>
          <w:color w:val="4A6B25"/>
          <w:sz w:val="20"/>
        </w:rPr>
        <w:t xml:space="preserve">2. </w:t>
      </w:r>
      <w:r>
        <w:rPr>
          <w:rFonts w:ascii="Calibri" w:hAnsi="Calibri"/>
          <w:b w:val="0"/>
          <w:color w:val="3A4A28"/>
          <w:sz w:val="20"/>
        </w:rPr>
        <w:t>GAAP profitability remains negative at -6.05% net margin, and the transition from acquisition-driven 74% growth to sustainable organic 20%+ growth will test whether the combined platform can scale without further M&amp;A [1][2]</w:t>
      </w:r>
    </w:p>
    <w:p>
      <w:pPr>
        <w:spacing w:before="40" w:after="40"/>
        <w:ind w:left="283"/>
      </w:pPr>
      <w:r>
        <w:rPr>
          <w:rFonts w:ascii="Calibri" w:hAnsi="Calibri"/>
          <w:b/>
          <w:color w:val="4A6B25"/>
          <w:sz w:val="20"/>
        </w:rPr>
        <w:t xml:space="preserve">3. </w:t>
      </w:r>
      <w:r>
        <w:rPr>
          <w:rFonts w:ascii="Calibri" w:hAnsi="Calibri"/>
          <w:b w:val="0"/>
          <w:color w:val="3A4A28"/>
          <w:sz w:val="20"/>
        </w:rPr>
        <w:t>Generative AI substitution risk is material — as AI tools mature, institutional investors may automate data aggregation, reconciliation, and reporting functions currently served by Clearwater's platform, particularly if Bloomberg or BlackRock Aladdin deploy competitive AI-native capabilities at scale [5]</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B8860B"/>
          <w:sz w:val="16"/>
        </w:rPr>
        <w:t xml:space="preserve"> MODERATE </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(5/9): Clearwater's core business — automated investment data aggregation, reconciliation, accounting, and compliance reporting — involves complex, regulated processes with high switching costs and deep client integrations, providing meaningful defensive moats against AI disruption [1][2]. However, as a software platform that automates data processing and reporting, portions of the value chain face genuine AI substitution risk: generative AI tools could eventually enable asset managers to query, reconcile, and report on investment data without a dedicated platform, and large competitors like Bloomberg and BlackRock Aladdin have significantly greater resources to invest in competing AI capabilities. The go-private structure under Permira/Warburg Pincus may allow Clearwater to invest more aggressively in AI without quarterly earnings pressure, but the fundamental exposure remains [4]. AI Opportunity (1/1): Clearwater GPT is shipping to clients as a production AI product, enabling natural-language queries across portfolio and accounting data, and the company has elevated COO Subi Sethi specifically to drive AI-powered product development and operational innovation [1][3].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51</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Business Ethics </w:t>
      </w:r>
      <w:r>
        <w:rPr>
          <w:rFonts w:ascii="Calibri" w:hAnsi="Calibri"/>
          <w:b w:val="0"/>
          <w:color w:val="9DAF88"/>
          <w:sz w:val="17"/>
        </w:rPr>
        <w:t xml:space="preserve">  ·  </w:t>
      </w:r>
      <w:r>
        <w:rPr>
          <w:rFonts w:ascii="Calibri" w:hAnsi="Calibri"/>
          <w:b/>
          <w:color w:val="16A34A"/>
          <w:sz w:val="17"/>
        </w:rPr>
        <w:t xml:space="preserve"> Business Resilience </w:t>
      </w:r>
      <w:r>
        <w:rPr>
          <w:rFonts w:ascii="Calibri" w:hAnsi="Calibri"/>
          <w:b w:val="0"/>
          <w:color w:val="9DAF88"/>
          <w:sz w:val="17"/>
        </w:rPr>
        <w:t xml:space="preserve">  ·  </w:t>
      </w:r>
      <w:r>
        <w:rPr>
          <w:rFonts w:ascii="Calibri" w:hAnsi="Calibri"/>
          <w:b/>
          <w:color w:val="16A34A"/>
          <w:sz w:val="17"/>
        </w:rPr>
        <w:t xml:space="preserve"> Data Security </w:t>
      </w:r>
      <w:r>
        <w:rPr>
          <w:rFonts w:ascii="Calibri" w:hAnsi="Calibri"/>
          <w:b w:val="0"/>
          <w:color w:val="9DAF88"/>
          <w:sz w:val="17"/>
        </w:rPr>
        <w:t xml:space="preserve">  ·  </w:t>
      </w:r>
      <w:r>
        <w:rPr>
          <w:rFonts w:ascii="Calibri" w:hAnsi="Calibri"/>
          <w:b/>
          <w:color w:val="16A34A"/>
          <w:sz w:val="17"/>
        </w:rPr>
        <w:t xml:space="preserve"> Ethical Labor Practices </w:t>
      </w:r>
      <w:r>
        <w:rPr>
          <w:rFonts w:ascii="Calibri" w:hAnsi="Calibri"/>
          <w:b w:val="0"/>
          <w:color w:val="9DAF88"/>
          <w:sz w:val="17"/>
        </w:rPr>
        <w:t xml:space="preserve">  ·  </w:t>
      </w:r>
      <w:r>
        <w:rPr>
          <w:rFonts w:ascii="Calibri" w:hAnsi="Calibri"/>
          <w:b/>
          <w:color w:val="16A34A"/>
          <w:sz w:val="17"/>
        </w:rPr>
        <w:t xml:space="preserve"> Fair Competition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Product Sustainability </w:t>
      </w:r>
      <w:r>
        <w:rPr>
          <w:rFonts w:ascii="Calibri" w:hAnsi="Calibri"/>
          <w:b w:val="0"/>
          <w:color w:val="9DAF88"/>
          <w:sz w:val="17"/>
        </w:rPr>
        <w:t xml:space="preserve">  ·  </w:t>
      </w:r>
      <w:r>
        <w:rPr>
          <w:rFonts w:ascii="Calibri" w:hAnsi="Calibri"/>
          <w:b/>
          <w:color w:val="16A34A"/>
          <w:sz w:val="17"/>
        </w:rPr>
        <w:t xml:space="preserve"> Regulatory Adherence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Clearwater Analytics Q1 2026 Financial Results — BusinessWire, May 7, 2026</w:t>
      </w:r>
    </w:p>
    <w:p>
      <w:pPr>
        <w:spacing w:before="20" w:after="20"/>
        <w:ind w:left="170"/>
      </w:pPr>
      <w:r>
        <w:rPr>
          <w:rFonts w:ascii="Calibri" w:hAnsi="Calibri"/>
          <w:b/>
          <w:color w:val="4A6B25"/>
          <w:sz w:val="15"/>
        </w:rPr>
        <w:t xml:space="preserve">2. </w:t>
      </w:r>
      <w:r>
        <w:rPr>
          <w:rFonts w:ascii="Calibri" w:hAnsi="Calibri"/>
          <w:b w:val="0"/>
          <w:color w:val="3A4A28"/>
          <w:sz w:val="17"/>
        </w:rPr>
        <w:t>Clearwater Analytics Q4 2025 Financial Results — SEC 8-K Filing, 2026</w:t>
      </w:r>
    </w:p>
    <w:p>
      <w:pPr>
        <w:spacing w:before="20" w:after="20"/>
        <w:ind w:left="170"/>
      </w:pPr>
      <w:r>
        <w:rPr>
          <w:rFonts w:ascii="Calibri" w:hAnsi="Calibri"/>
          <w:b/>
          <w:color w:val="4A6B25"/>
          <w:sz w:val="15"/>
        </w:rPr>
        <w:t xml:space="preserve">3. </w:t>
      </w:r>
      <w:r>
        <w:rPr>
          <w:rFonts w:ascii="Calibri" w:hAnsi="Calibri"/>
          <w:b w:val="0"/>
          <w:color w:val="3A4A28"/>
          <w:sz w:val="17"/>
        </w:rPr>
        <w:t>Clearwater Analytics Promotes Key Executives — BusinessWire, April 2025</w:t>
      </w:r>
    </w:p>
    <w:p>
      <w:pPr>
        <w:spacing w:before="20" w:after="20"/>
        <w:ind w:left="170"/>
      </w:pPr>
      <w:r>
        <w:rPr>
          <w:rFonts w:ascii="Calibri" w:hAnsi="Calibri"/>
          <w:b/>
          <w:color w:val="4A6B25"/>
          <w:sz w:val="15"/>
        </w:rPr>
        <w:t xml:space="preserve">4. </w:t>
      </w:r>
      <w:r>
        <w:rPr>
          <w:rFonts w:ascii="Calibri" w:hAnsi="Calibri"/>
          <w:b w:val="0"/>
          <w:color w:val="3A4A28"/>
          <w:sz w:val="17"/>
        </w:rPr>
        <w:t>Clearwater Analytics $8.4B Take-Private by Permira/Warburg Pincus — Permira.com, June 2026</w:t>
      </w:r>
    </w:p>
    <w:p>
      <w:pPr>
        <w:spacing w:before="20" w:after="20"/>
        <w:ind w:left="170"/>
      </w:pPr>
      <w:r>
        <w:rPr>
          <w:rFonts w:ascii="Calibri" w:hAnsi="Calibri"/>
          <w:b/>
          <w:color w:val="4A6B25"/>
          <w:sz w:val="15"/>
        </w:rPr>
        <w:t xml:space="preserve">5. </w:t>
      </w:r>
      <w:r>
        <w:rPr>
          <w:rFonts w:ascii="Calibri" w:hAnsi="Calibri"/>
          <w:b w:val="0"/>
          <w:color w:val="3A4A28"/>
          <w:sz w:val="17"/>
        </w:rPr>
        <w:t>StockAnalysis.com — CWAN Key Statistics, accessed July 2026</w:t>
      </w:r>
    </w:p>
    <w:p>
      <w:pPr>
        <w:spacing w:before="20" w:after="20"/>
        <w:ind w:left="170"/>
      </w:pPr>
      <w:r>
        <w:rPr>
          <w:rFonts w:ascii="Calibri" w:hAnsi="Calibri"/>
          <w:b/>
          <w:color w:val="4A6B25"/>
          <w:sz w:val="15"/>
        </w:rPr>
        <w:t xml:space="preserve">6. </w:t>
      </w:r>
      <w:r>
        <w:rPr>
          <w:rFonts w:ascii="Calibri" w:hAnsi="Calibri"/>
          <w:b w:val="0"/>
          <w:color w:val="3A4A28"/>
          <w:sz w:val="17"/>
        </w:rPr>
        <w:t>Clearwater Analytics ESG Metrics Advocacy — FTF News, 2025</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