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CWEN</w:t>
      </w:r>
      <w:r>
        <w:rPr>
          <w:rFonts w:ascii="Calibri" w:hAnsi="Calibri"/>
          <w:b/>
          <w:color w:val="1A2010"/>
          <w:sz w:val="40"/>
        </w:rPr>
        <w:t xml:space="preserve">  Clearway Energy, Inc.</w:t>
      </w:r>
    </w:p>
    <w:p>
      <w:pPr>
        <w:spacing w:after="120"/>
      </w:pPr>
      <w:r>
        <w:rPr>
          <w:rFonts w:ascii="Calibri" w:hAnsi="Calibri"/>
          <w:b/>
          <w:color w:val="6E8450"/>
          <w:sz w:val="18"/>
        </w:rPr>
        <w:t>DIVIDEND SLEEVE · 2026-09-29 · Inspire: 75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Renewable Electricity · NYSE · United States</w:t>
      </w:r>
    </w:p>
    <w:p>
      <w:pPr>
        <w:spacing w:after="80"/>
      </w:pPr>
      <w:r>
        <w:rPr>
          <w:rFonts w:ascii="Calibri" w:hAnsi="Calibri"/>
          <w:b w:val="0"/>
          <w:color w:val="3A4A28"/>
          <w:sz w:val="20"/>
        </w:rPr>
        <w:t>Clearway Energy is one of the largest owners of clean energy generation assets in the United States, with approximately 9 GW of installed wind, solar, and energy storage capacity plus roughly 2.5 GW of natural gas generation. The company operates as a yieldco, distributing cash available for distribution (CAFD) to shareholders through quarterly dividends. Sponsored by Clearway Energy Group (majority-owned by Global Infrastructure Partners). Q2 2026 revenue grew 22.7% to $481M with Adjusted EBITDA of $409M. Plans $3B in growth investments 2026-2029. Headquartered in Princeton, New Jersey.</w:t>
      </w:r>
    </w:p>
    <w:p>
      <w:r>
        <w:rPr>
          <w:rFonts w:ascii="Calibri" w:hAnsi="Calibri"/>
          <w:b/>
          <w:color w:val="6E8450"/>
          <w:sz w:val="18"/>
        </w:rPr>
        <w:t>60 Employees · https://www.clearwayenergy.com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Clearway executed a meaningful business model evolution by signing 2 GW of AI-linked power purchase agreements, including a 1.17 GW deal with Google for data center power, positioning the company at the intersection of renewable energy and AI infrastructure demand [1][3]. Battery energy storage buildout adds dispatchable capacity to complement intermittent wind and solar. However, these represent commercial evolution and asset acquisition, not technology innovation per se. AI Deployment (0/2): CEO Cornelius stated Clearway sees opportunities to deploy automation and AI technologies, and the newly established Transformation Office under Sarah Rubenstein focuses on digital and data transformation [3]. These are early-stage operational initiatives, not yet generating measurable results. Market Share (1/2): Clearway is among the largest clean energy owners in the U.S. with approximately 9 GW capacity, but significantly smaller than NextEra Energy (~35 GW) and other utility-scale platforms [1]. Product Pipeline (2/2): The 2 GW AI-linked PPA pipeline and $3B growth investment plan spanning 2026-2029 (wind repowering, battery storage, Cardinal acquisition, data center power solutions) provide clear multi-year revenue visibility with named counterparties [1][3]. R&amp;D Intensity (1/1): While not investing in hardware R&amp;D, Clearway's Transformation Office and data analytics investments demonstrate commitment to operational innovation within the yieldco model.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Clearway's purpose — accelerating the transition to clean energy — is clear, socially beneficial, and connects the company's work to a meaningful societal goal. However, this positioning is shared by virtually every renewable energy company, making it clear but not distinctive within the sector [4]. Community Impact (1/2): The 2024 ESG report documents 95% zero-emission electricity generation, with 91% of 2025 revenues not tied to GHG-emitting dispatch [4]. No critical ESG concerns were raised by stakeholders in 2023. However, no specific charitable foundation or community investment dollar amounts were identified. Employee Retention (1/2): With only 60 corporate employees (operations run by Clearway Energy Group), the organization is lean. Glassdoor reviews show mixed signals — employees praise safety culture, benefits, and coworkers while others report feeling overworked and underpaid with inconsistent departmental cultures [5]. Insider Buying (1/2): CEO Craig Cornelius (since July 2024) has demonstrated institutional commitment through the AI power campus strategy and $3B investment plan, though no specific insider purchase data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Forward P/E improved significantly to 17.84 (below 20 target, score 1.0), reflecting the market re-rating as Q2 2026 adjusted EPS of $1.00 dramatically beat the $0.38 consensus [1]. Revenue surged 22.7% YoY to $481M (score 1.0) with Adjusted EBITDA of $409M (up 19.2%). D/E of 177% reflects the capital-intensive yieldco structure (score 0.54). ROE of -3.2% scores 0.0, typical for yieldcos where depreciation depresses reported earnings relative to robust cash generation [5]. Profit margin of 6.4% is low by traditional metrics (score 0.32) but CAFD of $167M quarterly demonstrates strong underlying cash economics. Dividend profile is the core strength: ~6.5% yield at current price, 8 consecutive years of payments (score 0.8, 2x weight), 6 years of growth (score 0.6), and 5-year dividend growth CAGR of ~6.5% exceeding the 6% target (score 1.0, 2x weight) [2]. 2026 CAFD guidance was lowered to $430-470M from $470-510M due to ENSO weather patterns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Clearway exhibits a mixed infinite-finite posture. The clean energy mission provides a genuine Just Cause connecting the company to something larger than quarterly earnings, the $3B investment plan spanning 2026-2029 shows long-term thinking, and the Transformation Office signals commitment to organizational evolution. However, as a yieldco, the company's primary purpose is distributing cash to shareholders — an inherently finite optimization — and the recent CAFD guidance cut reveals vulnerability to near-term weather variability.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Clearway's purpose — accelerating the clean energy transition — is genuine, service-oriented, and connects to a meaningful societal goal. Strategic decisions (investing exclusively in renewable and storage assets, signing long-term clean energy PPAs with hyperscale customers, targeting 95% zero-emission generation) consistently reflect this purpose [4]. The $3B growth investment plan spanning 2026-2029 demonstrates commitment beyond immediate quarterly returns. However, the company was formed in 2018 and has not yet been tested through a major crisis that would validate long-term purpose commitment.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Clearway's corporate team of only 60 employees makes culture assessment difficult. Glassdoor reviews show mixed signals — employees praise safety culture, benefits, and collaborative teamwork while others report inconsistent departmental experiences [5]. The recent establishment of the Transformation Office and CFO Sarah Rubenstein's transition to lead it suggests organizational flexibility and trust in key leaders. CEO Cornelius has been in place since July 2024, providing reasonable leadership stability.</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Clearway competes for PPAs and acquisitions against NextEra, AES, Brookfield Renewable, and other large renewable developers. The company's strategic pivot toward AI-linked power campuses and battery storage differentiation suggests awareness of competitive positioning and willingness to find niches where it can win [3]. However, management does not publicly frame competition as a learning opportunity or acknowledge rivals' specific strengths.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Clearway's lineage demonstrates meaningful flexibility — originating as NRG Yield (a traditional utility spinoff), transforming into a pure-play clean energy yieldco, and now evolving into an AI-linked power campus developer with a dedicated Transformation Office for digital modernization [3]. The $3B growth plan targeting wind repowering, battery storage, and data center power solutions shows willingness to evolve the business model as market opportunities shift.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Cornelius committed to the $3B growth investment plan and 2 GW AI-linked power campus strategy, representing bold long-term capital allocation [3]. The decision to lower 2026 CAFD guidance transparently rather than stretch for short-term results shows integrity over optics [1]. The creation of a Transformation Office signals willingness to invest in organizational evolution. However, these bets are supported by strong market tailwinds and policy incentives — true courage would involve maintaining investment during policy reversal.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Clearway Energy delivered a strong Q2 2026 with revenue up 22.7% to $481M, Adjusted EBITDA of $409M (up 19.2%), and adjusted EPS of $1.00 dramatically beating the $0.38 consensus [1]. At $29.21 with a forward P/E of 17.84 and ~6.5% dividend yield, the stock offers attractive income with growth optionality. The AI data center power opportunity is transformative — 2 GW of AI-linked PPAs including 1.17 GW with Google provide multi-decade contracted revenue visibility, and the $3B growth investment plan spanning 2026-2029 targets wind repowering, battery storage, and data center power solutions [3]. The 8-year dividend track record with 6.5% 5-year growth CAGR supports the income thesis, and the Inspire score of 75 (ALIGNED) makes this one of the strongest faith-aligned holdings in the renewable energy space [4].</w:t>
      </w:r>
    </w:p>
    <w:p>
      <w:pPr>
        <w:spacing w:after="120"/>
      </w:pPr>
      <w:r>
        <w:rPr>
          <w:rFonts w:ascii="Calibri" w:hAnsi="Calibri"/>
          <w:b w:val="0"/>
          <w:color w:val="3A4A28"/>
          <w:sz w:val="20"/>
        </w:rPr>
        <w:t>The bear case centers on financial structure and near-term headwinds. The 2026 CAFD guidance was lowered to $430-470M from $470-510M due to ENSO weather patterns, highlighting the inherent meteorological variability of renewable energy cash flows [1]. D/E of 177% and payout ratio of 221% (typical for yieldcos but structurally elevated) create refinancing risk if interest rates remain high. ROE of -3.2% reflects the yieldco's depreciation-heavy structure that depresses reported earnings even as cash generation remains robust [5]. Stock price declined from $32.65 to $29.21 since August despite strong Q2 results, suggesting the market is pricing in CAFD guidance risk. Potential changes to clean energy tax credits under evolving federal energy policy could reduce economic returns on new acquisitions and slow portfolio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on $3B growth investment plan (2026-2029) targeting wind repowering, battery storage, and data center power solutions, with 2 GW of AI-linked PPAs providing contracted revenue visibility [1][3]</w:t>
      </w:r>
    </w:p>
    <w:p>
      <w:pPr>
        <w:spacing w:before="40" w:after="40"/>
        <w:ind w:left="283"/>
      </w:pPr>
      <w:r>
        <w:rPr>
          <w:rFonts w:ascii="Calibri" w:hAnsi="Calibri"/>
          <w:b/>
          <w:color w:val="4A6B25"/>
          <w:sz w:val="20"/>
        </w:rPr>
        <w:t xml:space="preserve">2. </w:t>
      </w:r>
      <w:r>
        <w:rPr>
          <w:rFonts w:ascii="Calibri" w:hAnsi="Calibri"/>
          <w:b w:val="0"/>
          <w:color w:val="3A4A28"/>
          <w:sz w:val="20"/>
        </w:rPr>
        <w:t>Continued 6-7% annual dividend growth supported by CAFD expansion and portfolio additions, with ~6.5% current yield attracting income-focused investors seeking clean energy exposure</w:t>
      </w:r>
    </w:p>
    <w:p>
      <w:pPr>
        <w:spacing w:before="40" w:after="40"/>
        <w:ind w:left="283"/>
      </w:pPr>
      <w:r>
        <w:rPr>
          <w:rFonts w:ascii="Calibri" w:hAnsi="Calibri"/>
          <w:b/>
          <w:color w:val="4A6B25"/>
          <w:sz w:val="20"/>
        </w:rPr>
        <w:t xml:space="preserve">3. </w:t>
      </w:r>
      <w:r>
        <w:rPr>
          <w:rFonts w:ascii="Calibri" w:hAnsi="Calibri"/>
          <w:b w:val="0"/>
          <w:color w:val="3A4A28"/>
          <w:sz w:val="20"/>
        </w:rPr>
        <w:t>Battery energy storage buildout adding high-value dispatchable capacity that commands premium pricing during peak demand, improving revenue quality and CAFD per MW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2026 CAFD guidance lowered to $430-470M from $470-510M due to ENSO weather patterns, highlighting inherent renewable energy generation variability and risk to dividend coverage [1]</w:t>
      </w:r>
    </w:p>
    <w:p>
      <w:pPr>
        <w:spacing w:before="40" w:after="40"/>
        <w:ind w:left="283"/>
      </w:pPr>
      <w:r>
        <w:rPr>
          <w:rFonts w:ascii="Calibri" w:hAnsi="Calibri"/>
          <w:b/>
          <w:color w:val="4A6B25"/>
          <w:sz w:val="20"/>
        </w:rPr>
        <w:t xml:space="preserve">2. </w:t>
      </w:r>
      <w:r>
        <w:rPr>
          <w:rFonts w:ascii="Calibri" w:hAnsi="Calibri"/>
          <w:b w:val="0"/>
          <w:color w:val="3A4A28"/>
          <w:sz w:val="20"/>
        </w:rPr>
        <w:t>D/E of 177% and payout ratio of 221% create vulnerability to interest rate and refinancing risk — elevated rates increase cost of capital for the yieldco's acquisition-driven growth model [5]</w:t>
      </w:r>
    </w:p>
    <w:p>
      <w:pPr>
        <w:spacing w:before="40" w:after="40"/>
        <w:ind w:left="283"/>
      </w:pPr>
      <w:r>
        <w:rPr>
          <w:rFonts w:ascii="Calibri" w:hAnsi="Calibri"/>
          <w:b/>
          <w:color w:val="4A6B25"/>
          <w:sz w:val="20"/>
        </w:rPr>
        <w:t xml:space="preserve">3. </w:t>
      </w:r>
      <w:r>
        <w:rPr>
          <w:rFonts w:ascii="Calibri" w:hAnsi="Calibri"/>
          <w:b w:val="0"/>
          <w:color w:val="3A4A28"/>
          <w:sz w:val="20"/>
        </w:rPr>
        <w:t>Potential changes to clean energy tax credits under evolving federal energy policy could reduce economic returns on new project acquisitions and slow the $3B growth investment plan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Clearway's core business — owning and operating physical power generation infrastructure — is structurally immune to AI disruption and actively benefits from it [3]. AI data centers are among the most electricity-intensive facilities ever built, and explosive growth in AI workloads is creating unprecedented demand for clean power. Clearway has signed 1.17 GW of PPAs with Google specifically for AI data center demand and is developing integrated power campuses for hyperscale customers [3]. The 'AI power bottleneck' is a long-term structural tailwind. No pathway exists for AI to substitute physical electricity generation. The only risk vector is potential policy changes reducing renewable energy incentives, which AI cannot cause but could impact the economics of new project development. AI Opportunity (1/1): The 2 GW of AI-linked PPAs represent contracted, quantifiable AI-driven revenue over multi-decade terms, directly tying Clearway's growth to AI infrastructure expansion [3]. The new Transformation Office is also exploring AI and automation for operational efficiency.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Clearway Energy Q2 2026 Financial Results — SEC 8-K / GlobeNewsWire,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CWEN key statistics and financial data,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Clearway Energy AI Power Agreements, 1.17 GW Google PPA, and $3B Growth Plan — Earnings Call and Press Coverage, 2026</w:t>
      </w:r>
    </w:p>
    <w:p>
      <w:pPr>
        <w:spacing w:before="20" w:after="20"/>
        <w:ind w:left="170"/>
      </w:pPr>
      <w:r>
        <w:rPr>
          <w:rFonts w:ascii="Calibri" w:hAnsi="Calibri"/>
          <w:b/>
          <w:color w:val="4A6B25"/>
          <w:sz w:val="15"/>
        </w:rPr>
        <w:t xml:space="preserve">4. </w:t>
      </w:r>
      <w:r>
        <w:rPr>
          <w:rFonts w:ascii="Calibri" w:hAnsi="Calibri"/>
          <w:b w:val="0"/>
          <w:color w:val="3A4A28"/>
          <w:sz w:val="17"/>
        </w:rPr>
        <w:t>Clearway Energy 2024 ESG Report and Sustainability Disclosures — Company Website</w:t>
      </w:r>
    </w:p>
    <w:p>
      <w:pPr>
        <w:spacing w:before="20" w:after="20"/>
        <w:ind w:left="170"/>
      </w:pPr>
      <w:r>
        <w:rPr>
          <w:rFonts w:ascii="Calibri" w:hAnsi="Calibri"/>
          <w:b/>
          <w:color w:val="4A6B25"/>
          <w:sz w:val="15"/>
        </w:rPr>
        <w:t xml:space="preserve">5. </w:t>
      </w:r>
      <w:r>
        <w:rPr>
          <w:rFonts w:ascii="Calibri" w:hAnsi="Calibri"/>
          <w:b w:val="0"/>
          <w:color w:val="3A4A28"/>
          <w:sz w:val="17"/>
        </w:rPr>
        <w:t>Glassdoor — Clearway Energy Employee Reviews,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