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CYH</w:t>
      </w:r>
      <w:r>
        <w:rPr>
          <w:rFonts w:ascii="Calibri" w:hAnsi="Calibri"/>
          <w:b/>
          <w:color w:val="1A2010"/>
          <w:sz w:val="40"/>
        </w:rPr>
        <w:t xml:space="preserve">  Community Health Systems,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30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Medical Care Facilities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Community Health Systems owns, leases, and operates general acute-care hospitals and related outpatient facilities across the United States, offering emergency, surgical, and critical-care services [1]. Tim Hingtgen, CEO since January 2021, retired effective September 30, 2025, handing operational leadership to internal successors including Kevin Hammons amid a period of shrinking, deleveraging, and portfolio divestitures [2]. The company reported $12.5 billion in 2025 net operating revenue but cut its 2026 guidance in July to $11.4-11.6 billion in revenue and a GAAP EPS range of -$1.25 to -$1.10, citing exchange disenrollment, rising self-pay volumes, and a softer surgical case mix [3].</w:t>
      </w:r>
    </w:p>
    <w:p>
      <w:r>
        <w:rPr>
          <w:rFonts w:ascii="Calibri" w:hAnsi="Calibri"/>
          <w:b/>
          <w:color w:val="6E8450"/>
          <w:sz w:val="18"/>
        </w:rPr>
        <w:t>44,000 Employees · https://www.chs.net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CHS has a history of operational turnarounds under prior leadership, but the July 2026 guidance cut (revenue lowered to $11.4-11.6B, EPS to -$1.10/-$1.25 vs. a -$0.60 consensus) during a CEO transition signals execution deterioration rather than improvement [3]. AI Deployment (1/2): The company operates an at-home remote patient monitoring and chronic-care management program powered by Cadence, a modest but real technology-enabled care initiative [2]. Market Share (1/2): CHS operates a multi-state network of acute-care hospitals with meaningful regional share in several mid-size markets, though it has been a net divestor of facilities to reduce leverage rather than an expander [1][3]. Pipeline (0/2): No material new-facility or service-line pipeline was identified; capital allocation is focused on debt reduction rather than growth investment. R&amp;D Intensity (0/1): R&amp;D spending is minimal, typical for a hospital operator, and not a strategic differentiator.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CHS's stated purpose of providing acute and emergency care, including in rural and underserved markets, is a legitimate healthcare mission, but it is generic among hospital operators and has been directly undercut by the company's own legal history [1]. Community Impact (0/2): A pending lawsuit alleges CHS diverted roughly $1 billion in public funds intended to offset care costs for low-income patients at a Fresno-area hospital toward upgrades at a more affluent suburban campus, directly contradicting a community-benefit narrative [4]. Employee Retention (0/2): No positive retention data was identified, and the September 2025 CEO retirement adds to recent leadership churn. Insider Buying (0/2): No evidence of meaningful net insider purchases was identified in the research period.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as a Growth stock (D/E and ROE not available/meaningful given the company's negative-equity balance sheet). CHS clears the liquidity floor with ~1.64 million average daily shares at $2.98 (~$4.9M daily turnover) [5]. Forward P/E of -5.76 reflects an expected net loss for the next fiscal year under the cut guidance and is treated as a floor-level (0) outcome rather than a favorable low multiple, since it signals deteriorating rather than cheap earnings [3][5]. Profit margin of just 2.10% and revenue growth YoY of -9.8% both score well below target, and PEG of 2.38 is unfavorable; a roughly flat three-year revenue CAGR (~+0.7%, 2022-2025) offers only marginal offsetting credit. Heavy financial leverage (negative-equity balance sheet from a legacy leveraged-buyout capital structure) is a structural overhang not fully captured in the standard metric set.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Community Health Systems is operating in survival mode: shrinking the balance sheet through divestitures, cutting guidance, and managing a leadership transition, with a legal history (a $98.15 million False Claims Act settlement for improper inpatient billing, plus a pending $1 billion Fresno public-funds lawsuit) that undercuts any claim to a genuinely trusted, community-first mission. This is a finite-game posture focused on near-term financial survival rather than building enduring worthiness of trust.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CHS's stated mission to provide acute and rural healthcare access is undermined by its own legal record, including a $98.15 million DOJ settlement for improperly billing inpatient care and a pending lawsuit alleging misuse of ~$1 billion in public indigent-care funding, both of which directly contradict a patient-first cause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The September 2025 CEO retirement and subsequent leadership uncertainty, combined with a history of shareholder derivative litigation over governance failures, point to organizational strain rather than a high-trust culture [2][4].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 partial): CHS competes with HCA Healthcare, Tenet, and nonprofit systems primarily on facility footprint and payer contracts, but its billing-practices settlement history raises questions about whether competitive gains have come from fair rivalry versus reimbursement-maximizing tactics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Facility divestitures and balance-sheet restructuring in response to structural headwinds (ACA exchange disenrollment, rising self-pay mix, declining elective surgical volumes) show some adaptive capacity, though these moves are defensive deleveraging rather than proactive reinvention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Management's response to structural headwinds has been cost reduction and asset sales rather than a bold, costly long-term investment; the July 2026 guidance cut and CEO transition reflect reactive rather than courageous leadership at this stage [2][3].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Community Health Systems trades at a deeply distressed valuation (1.61x trailing earnings, $2.98/share, ~$420 million market cap against $12.5 billion in revenue) reflecting the market's skepticism about the company's ability to stabilize its balance sheet and operating margins [3][5]. A broad Inspire Insight positive-attribution list spanning Customer Welfare, Employee Wellbeing, and Product Safety suggests meaningful on-the-ground community healthcare delivery even amid corporate-level controversies [see faith_alignment]. Facility divestitures have already reduced debt, and any stabilization in exchange-related self-pay volumes or surgical case mix could provide meaningful operating leverage given the depressed starting valuation.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compelling: the company cut 2026 revenue guidance to $11.4-11.6 billion (from $12.5 billion in 2025) and now guides to a GAAP loss of $1.10-$1.25 per share, an estimate far worse than the prior -$0.60 consensus, driven by ACA exchange disenrollment and a $50-75 million annual EBITDA drag from rising self-pay volumes [3]. A pending lawsuit alleging misuse of roughly $1 billion in public indigent-care funding, on top of a prior $98.15 million False Claims Act settlement for improper inpatient billing, points to recurring governance and compliance risk [4]. Combined with a September 2025 CEO transition, negative revenue growth, and forward earnings expected to remain negative, this is a structurally challenged, high-leverage hospital operator better suited to distressed-value speculation than a core holding.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Stabilization or reversal of ACA exchange disenrollment trends could reduce the $50-75 million annual EBITDA drag from rising self-pay volumes flagged in July 2026 guidance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facility divestitures could further reduce leverage and interest expense, improving free cash flow even absent revenue growth [1][3]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 rebound in elective surgical volumes (currently down 3.8% in orthopedics and certain cardiac lines) would improve the surgical-to-medical case mix and margins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2026 guidance already reflects a GAAP loss of $1.10-$1.25 per share, and further deterioration in payer mix or self-pay volumes could push the loss wider still, pressuring an already leveraged balance sheet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The pending Fresno lawsuit alleging misuse of ~$1 billion in public indigent-care funds, alongside the company's prior $98.15 million False Claims Act settlement, creates ongoing legal and reputational risk that could result in further financial penalties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Recent CEO transition (Hingtgen retired September 2025) during a period of declining revenue and negative earnings guidance adds execution uncertainty at a critical juncture [2][3]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Acute hospital care -- emergency treatment, surgery, inpatient nursing -- is fundamentally physical and cannot be automated away by AI, giving CHS structural insulation from direct AI displacement of its core revenue base [1]. Regulatory licensing requirements for hospital operation further limit disruption risk from non-provider entrants. AI Opportunity (0/1): The Cadence-powered remote patient monitoring and chronic-care program represents a real but still-small technology-enabled care initiative; no material AI-driven revenue or margin benefit has been disclosed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30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Community Health Systems, Inc. company profile and description -- chs.net, Yahoo Finance,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Community Health Systems CEO transition -- Tim Hingtgen retirement, Cadence remote patient monitoring program -- chs.net, Crunchbase, Bloomberg,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Community Health Systems Q4 2025 and Q2 2026 earnings results and July 2026 guidance cut -- Investing.com, FierceHealthcare, StockTitan,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Community Health Systems litigation history -- $98.15 million DOJ False Claims Act settlement, Fresno $1 billion public-funds lawsuit, shareholder derivative litigation -- justice.gov, fresnoland.org, rgrdlaw.com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/ stockanalysis.com -- CYH key statistics: price $2.98, trailing P/E 1.61, forward P/E -5.76, PEG 2.38, profit margin 2.10%, average volume ~1,637,780,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