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CYTK</w:t>
      </w:r>
      <w:r>
        <w:rPr>
          <w:rFonts w:ascii="Calibri" w:hAnsi="Calibri"/>
          <w:b/>
          <w:color w:val="1A2010"/>
          <w:sz w:val="40"/>
        </w:rPr>
        <w:t xml:space="preserve">  Cytokinetics, Incorporated</w:t>
      </w:r>
    </w:p>
    <w:p>
      <w:pPr>
        <w:spacing w:after="120"/>
      </w:pPr>
      <w:r>
        <w:rPr>
          <w:rFonts w:ascii="Calibri" w:hAnsi="Calibri"/>
          <w:b/>
          <w:color w:val="6E8450"/>
          <w:sz w:val="18"/>
        </w:rPr>
        <w:t>GROWTH SLEEVE · 2026-09-11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Cytokinetics is a biopharmaceutical company focused on discovering, developing, and commercializing muscle biology-directed therapies for cardiovascular and neuromuscular diseases. Its first-in-class cardiac myosin inhibitor aficamten was FDA-approved in 2026 under the brand MYQORZO for symptomatic obstructive hypertrophic cardiomyopathy (oHCM), transforming the company from a development-stage biotech into a commercial-stage enterprise with launches underway in the U.S., Germany, and the U.K. [1]. Q2 2026 total revenue was $28.6M ($25.3M from MYQORZO net product sales), against a $198.8M quarterly net loss and $1.7B in cash following a $760.1M public offering [2].</w:t>
      </w:r>
    </w:p>
    <w:p>
      <w:r>
        <w:rPr>
          <w:rFonts w:ascii="Calibri" w:hAnsi="Calibri"/>
          <w:b/>
          <w:color w:val="6E8450"/>
          <w:sz w:val="18"/>
        </w:rPr>
        <w:t>900 Employees · https://www.cytokinetics.com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FDA approval and U.S./Germany/U.K. commercial launch of MYQORZO (aficamten) in 2026 is a transformative event — the company's first approved product, converting a 20+ year R&amp;D-stage muscle-biology platform into a global commercial franchise [1]. AI Deployment (0/2): No evidence of AI-powered drug discovery, AI-driven internal efficiency gains, or AI-enabled products was found in company disclosures. Market Share (2/2): MYQORZO captured more than 40% of new-to-brand prescription share in oHCM within months of U.S. launch, a fast, specific, and well-documented share gain in a newly created category [1]. Product Pipeline (2/2): The ACACIA-HCM Phase 3 trial in non-obstructive HCM (nHCM) reported positive topline results, with a supplemental NDA (MAPLE-HCM) submission planned for Q4 2026 and potential FDA approval also targeted for Q4 2026 — a specific, dated pipeline expansion into a substantially larger addressable population [1]. R&amp;D Intensity (1/1): Cytokinetics continues to run R&amp;D-intensive operations (raised full-year opex guidance, $198.8M quarterly net loss) consistent with a biotech reinvesting well above typical industry R&amp;D intensity into its pipeline even post-approval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Cytokinetics' focus on 'muscle biology-directed therapies' to improve the healthspan of people with cardiovascular and neuromuscular diseases is specific and thoughtful, connecting decades of first-in-class/next-in-class muscle science to a genuine unmet-need patient population rather than a generic pharma platitude [1][6]. Community Impact (0/2): No evidence of meaningful charitable giving, foundation activity, or community investment programs was found. Employee Retention (0/2): Comparably data shows a CEO approval score of 80/100 but a below-average overall leadership score of 59/100, with no specific tenure or turnover figures available to support a positive score [6]. Insider Buying (0/2): Multiple executives have been net sellers, including EVP of R&amp;D Fady Malik ($282,065 sale) and Director B. Parshall ($357,400 sale in September 2026), with CEO Robert Blum operating under a 10b5-1 plan for the sale of up to 135,000 shares — no evidence of net insider buying was found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only (Growth weighting). Cytokinetics is unprofitable with a $894M trailing-twelve-month net loss and a $198.8M net loss in Q2 2026 alone, so Return on Equity and Profit Margin both fall at or below the zero floor and score 0.0. Debt-to-Equity, Forward P/E, Forward PEG, and both revenue-growth metrics are excluded as not meaningful/unavailable — YoY and 5yr revenue comparisons are distorted by the 2026 transition from a near-zero-revenue R&amp;D-stage company to a newly commercial one with a single-quarter product launch base, and standard valuation multiples do not exist for an unprofitable issuer [2]. The weighted sum across the two available metrics (ROE, Profit Margin) is 0, yielding an Infrastructure score of 0 despite a strong $1.7B cash position (following a $760.1M offering) that provides real runway not captured by this formula [2]. The stock comfortably clears the liquidity floor (~1.73M shares/day at $73.62 ≈ $127M/day).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Cytokinetics is a genuine long-horizon science company: CEO Robert Blum has led the muscle-biology platform since 2007 through two major Phase 3 failures (omecamtiv mecarbil, reldesemtiv) before aficamten's 2026 approval finally validated the underlying thesis — a real test of courage and consistency of purpose. The mixed score reflects strong courage and cause evidence offset by a lack of disclosed data on organizational trust, competitive posture, and community impact.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muscle-biology mission to improve healthspan for people with debilitating cardiovascular and neuromuscular disease has been consistently pursued for two decades under the same CEO, surviving major clinical setbacks (omecamtiv mecarbil's mixed GALACTIC-HF outcome, reldesemtiv's ALS Phase III failure) before aficamten's approval validated the platform [1][6]. It is genuine and service-oriented but has not yet been tested through a leadership transition, and its distinctiveness (versus other cardiology-focused biotechs) is grounded mainly in the specific muscle-mechanics science rather than a uniquely articulated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Comparably reports a strong 80/100 CEO approval score but a below-average 59/100 overall leadership score, and no specific tenure, turnover, or psychological-safety data was found — evidence is mixed and insufficient to support a high-trust rating [6].</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Cytokinetics framing its cardiomyopathy competitive position (versus Bristol Myers Squibb's Camzyos) in terms of learning from a rival's strengths; disclosures focus on MYQORZO's own share capture (40%+ new-to-brand) without an articulated competitive philosophy, so no tiebreaker credit is awarded absent explicit evidence.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Cytokinetics transitioned in 2026 from a pure R&amp;D-stage organization to a global commercial biopharma company — building sales, market access, and international launch capabilities in the U.S., Germany, and U.K. essentially from scratch [1]. This is a substantial operating-model evolution driven by scientific success rather than desperation, though it is a natural maturation of the existing pipeline rather than an abandonment of a working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Leadership absorbed two major clinical setbacks — omecamtiv mecarbil's underwhelming GALACTIC-HF outcome and reldesemtiv's Phase III ALS failure — while continuing to fund an R&amp;D-intensive muscle-biology platform for nearly two decades, accumulating an $894M trailing net loss, before aficamten's 2026 approval vindicated the long-term bet [1][2]. This is a clear, sustained pattern of prioritizing long-term scientific conviction over short-term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Cytokinetics has crossed the inflection point from clinical-stage biotech to commercial-stage company: MYQORZO (aficamten) is FDA-approved and already capturing over 40% of new-to-brand share in oHCM within months of launch, with international expansion underway in Germany and the U.K. [1]. The ACACIA-HCM Phase 3 win in the larger non-obstructive HCM population sets up a Q4 2026 sNDA submission and potential approval, which could substantially expand the addressable market beyond the initial oHCM indication [1]. A $1.7B cash position following a $760.1M offering funds the commercial launch and pipeline expansion without near-term financing risk, and 20 years of muscle-biology R&amp;D investment is finally being monetized [2].</w:t>
      </w:r>
    </w:p>
    <w:p>
      <w:pPr>
        <w:spacing w:after="120"/>
      </w:pPr>
      <w:r>
        <w:rPr>
          <w:rFonts w:ascii="Calibri" w:hAnsi="Calibri"/>
          <w:b w:val="0"/>
          <w:color w:val="3A4A28"/>
          <w:sz w:val="20"/>
        </w:rPr>
        <w:t>The bear case is straightforward: Cytokinetics remains deeply unprofitable, with a $894M trailing net loss and $198.8M lost in Q2 2026 alone against just $28.6M of quarterly revenue, and nearly every standard financial-durability metric (ROE, profit margin, forward earnings multiples) is unusable or negative [2]. Commercial execution risk is real and unproven at scale — competing against Bristol Myers Squibb's established Camzyos in the same HCM class, MYQORZO's early share gains must be sustained through payer negotiations, reimbursement hurdles, and international rollout without the benefit of Cytokinetics' first mover having been in the class. Net insider selling by the EVP of R&amp;D and a board director, with the CEO operating under a pre-set 10b5-1 sale plan, shows no incremental insider conviction at current prices [7]. The company's total liabilities of $2.10B against Q2 2026 cash of $1.7B underscore that continued equity or debt financing may be needed if commercial ramp or nHCM approval timelines slip.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FDA approval of the aficamten sNDA (MAPLE-HCM) in non-obstructive HCM in Q4 2026, substantially expanding the addressable patient population beyond the initial obstructive HCM indication [1]</w:t>
      </w:r>
    </w:p>
    <w:p>
      <w:pPr>
        <w:spacing w:before="40" w:after="40"/>
        <w:ind w:left="283"/>
      </w:pPr>
      <w:r>
        <w:rPr>
          <w:rFonts w:ascii="Calibri" w:hAnsi="Calibri"/>
          <w:b/>
          <w:color w:val="4A6B25"/>
          <w:sz w:val="20"/>
        </w:rPr>
        <w:t xml:space="preserve">2. </w:t>
      </w:r>
      <w:r>
        <w:rPr>
          <w:rFonts w:ascii="Calibri" w:hAnsi="Calibri"/>
          <w:b w:val="0"/>
          <w:color w:val="3A4A28"/>
          <w:sz w:val="20"/>
        </w:rPr>
        <w:t>Continued MYQORZO U.S. commercial ramp beyond the current 40%+ new-to-brand share, plus scaling international launches in Germany and the U.K. [1]</w:t>
      </w:r>
    </w:p>
    <w:p>
      <w:pPr>
        <w:spacing w:before="40" w:after="40"/>
        <w:ind w:left="283"/>
      </w:pPr>
      <w:r>
        <w:rPr>
          <w:rFonts w:ascii="Calibri" w:hAnsi="Calibri"/>
          <w:b/>
          <w:color w:val="4A6B25"/>
          <w:sz w:val="20"/>
        </w:rPr>
        <w:t xml:space="preserve">3. </w:t>
      </w:r>
      <w:r>
        <w:rPr>
          <w:rFonts w:ascii="Calibri" w:hAnsi="Calibri"/>
          <w:b w:val="0"/>
          <w:color w:val="3A4A28"/>
          <w:sz w:val="20"/>
        </w:rPr>
        <w:t>Path toward operating leverage as product revenue grows against a largely fixed commercial infrastructure base, narrowing the current $198.8M quarterly net loss over time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heavy cash burn ($198.8M net loss in Q2 2026 alone) against $2.10B in total liabilities creates ongoing financing risk if commercial ramp or pipeline milestones disappoint [2]</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Bristol Myers Squibb's incumbent Camzyos (mavacamten) in the same cardiac myosin inhibitor class for HCM could cap MYQORZO's peak market share and pricing power</w:t>
      </w:r>
    </w:p>
    <w:p>
      <w:pPr>
        <w:spacing w:before="40" w:after="40"/>
        <w:ind w:left="283"/>
      </w:pPr>
      <w:r>
        <w:rPr>
          <w:rFonts w:ascii="Calibri" w:hAnsi="Calibri"/>
          <w:b/>
          <w:color w:val="4A6B25"/>
          <w:sz w:val="20"/>
        </w:rPr>
        <w:t xml:space="preserve">3. </w:t>
      </w:r>
      <w:r>
        <w:rPr>
          <w:rFonts w:ascii="Calibri" w:hAnsi="Calibri"/>
          <w:b w:val="0"/>
          <w:color w:val="3A4A28"/>
          <w:sz w:val="20"/>
        </w:rPr>
        <w:t>All core Infrastructure financial-durability metrics (ROE, profit margin, leverage, valuation multiples) are currently negative or unusable, leaving the investment thesis entirely dependent on commercial execution rather than demonstrated financial strength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Cytokinetics' commercial business — an FDA-approved, patent-protected small-molecule cardiac therapeutic distributed through specialty pharmacy and physician-detailing channels — is structurally immune to AI substitution; no analyst commentary identifies AI as a threat to MYQORZO's regulated, prescription-based revenue model [1]. Drug discovery and clinical development could in principle be AI-augmented, but replacement of the regulatory approval pathway, physician relationships, and manufacturing/distribution infrastructure that generate revenue is not a credible near-term risk. AI Opportunity (0/1): No evidence of AI-driven drug discovery tools, AI-attributed cost savings, or AI product revenue was found in company disclosures, so no tiebreaker point is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Cytokinetics Q2 2026 Financial Results and Business Update — Revenue $28.6M, MYQORZO $25.3M, ACACIA-HCM Topline, FDA Approval Status — StockTitan, TradingView, Cytokinetics IR, August 2026</w:t>
      </w:r>
    </w:p>
    <w:p>
      <w:pPr>
        <w:spacing w:before="20" w:after="20"/>
        <w:ind w:left="170"/>
      </w:pPr>
      <w:r>
        <w:rPr>
          <w:rFonts w:ascii="Calibri" w:hAnsi="Calibri"/>
          <w:b/>
          <w:color w:val="4A6B25"/>
          <w:sz w:val="15"/>
        </w:rPr>
        <w:t xml:space="preserve">2. </w:t>
      </w:r>
      <w:r>
        <w:rPr>
          <w:rFonts w:ascii="Calibri" w:hAnsi="Calibri"/>
          <w:b w:val="0"/>
          <w:color w:val="3A4A28"/>
          <w:sz w:val="17"/>
        </w:rPr>
        <w:t>Cytokinetics Q2 2026 Earnings Call Transcript — Net Loss $198.8M, Cash $1.7B, $760.1M Offering — The Motley Fool,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CYTK Key Statistics,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Cytokinetics Pipeline — Aficamten/MYQORZO Mechanism and Regulatory History — Cytokinetics.com, Clinical Trials Arena</w:t>
      </w:r>
    </w:p>
    <w:p>
      <w:pPr>
        <w:spacing w:before="20" w:after="20"/>
        <w:ind w:left="170"/>
      </w:pPr>
      <w:r>
        <w:rPr>
          <w:rFonts w:ascii="Calibri" w:hAnsi="Calibri"/>
          <w:b/>
          <w:color w:val="4A6B25"/>
          <w:sz w:val="15"/>
        </w:rPr>
        <w:t xml:space="preserve">5. </w:t>
      </w:r>
      <w:r>
        <w:rPr>
          <w:rFonts w:ascii="Calibri" w:hAnsi="Calibri"/>
          <w:b w:val="0"/>
          <w:color w:val="3A4A28"/>
          <w:sz w:val="17"/>
        </w:rPr>
        <w:t>Cytokinetics Fourth Quarter 2025 Financial Results and Business Update — Cytokinetics IR</w:t>
      </w:r>
    </w:p>
    <w:p>
      <w:pPr>
        <w:spacing w:before="20" w:after="20"/>
        <w:ind w:left="170"/>
      </w:pPr>
      <w:r>
        <w:rPr>
          <w:rFonts w:ascii="Calibri" w:hAnsi="Calibri"/>
          <w:b/>
          <w:color w:val="4A6B25"/>
          <w:sz w:val="15"/>
        </w:rPr>
        <w:t xml:space="preserve">6. </w:t>
      </w:r>
      <w:r>
        <w:rPr>
          <w:rFonts w:ascii="Calibri" w:hAnsi="Calibri"/>
          <w:b w:val="0"/>
          <w:color w:val="3A4A28"/>
          <w:sz w:val="17"/>
        </w:rPr>
        <w:t>Comparably — Cytokinetics CEO and Leadership Ratings</w:t>
      </w:r>
    </w:p>
    <w:p>
      <w:pPr>
        <w:spacing w:before="20" w:after="20"/>
        <w:ind w:left="170"/>
      </w:pPr>
      <w:r>
        <w:rPr>
          <w:rFonts w:ascii="Calibri" w:hAnsi="Calibri"/>
          <w:b/>
          <w:color w:val="4A6B25"/>
          <w:sz w:val="15"/>
        </w:rPr>
        <w:t xml:space="preserve">7. </w:t>
      </w:r>
      <w:r>
        <w:rPr>
          <w:rFonts w:ascii="Calibri" w:hAnsi="Calibri"/>
          <w:b w:val="0"/>
          <w:color w:val="3A4A28"/>
          <w:sz w:val="17"/>
        </w:rPr>
        <w:t>GuruFocus, TipRanks — CYTK Insider Trading Activity (Form 4 filings),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