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CZR</w:t>
      </w:r>
      <w:r>
        <w:rPr>
          <w:rFonts w:ascii="Calibri" w:hAnsi="Calibri"/>
          <w:b/>
          <w:color w:val="1A2010"/>
          <w:sz w:val="40"/>
        </w:rPr>
        <w:t xml:space="preserve">  Caesars Entertainment, Inc.</w:t>
      </w:r>
    </w:p>
    <w:p>
      <w:pPr>
        <w:spacing w:after="120"/>
      </w:pPr>
      <w:r>
        <w:rPr>
          <w:rFonts w:ascii="Calibri" w:hAnsi="Calibri"/>
          <w:b/>
          <w:color w:val="6E8450"/>
          <w:sz w:val="18"/>
        </w:rPr>
        <w:t>GROWTH SLEEVE · 2026-10-16 · Inspire: -77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Resorts &amp; Casinos · NMS · United States</w:t>
      </w:r>
    </w:p>
    <w:p>
      <w:pPr>
        <w:spacing w:after="80"/>
      </w:pPr>
      <w:r>
        <w:rPr>
          <w:rFonts w:ascii="Calibri" w:hAnsi="Calibri"/>
          <w:b w:val="0"/>
          <w:color w:val="3A4A28"/>
          <w:sz w:val="20"/>
        </w:rPr>
        <w:t>Caesars Entertainment is the largest U.S. casino-entertainment company by property count, operating over 50 resorts across the U.S. and internationally. The company generates TTM revenue of $11.6B through three segments: Las Vegas (~$1B/quarter), Regional (~$1.4B/quarter), and Digital (~$374M/quarter), with 95.3% Las Vegas occupancy and a growing iGaming and sports betting platform operating in 27 of 34 North American jurisdictions. In May 2026, Fertitta Entertainment agreed to acquire Caesars for $31.00/share in an all-cash transaction valued at approximately $17.6B including assumption of $11.9B in debt [1][2].</w:t>
      </w:r>
    </w:p>
    <w:p>
      <w:r>
        <w:rPr>
          <w:rFonts w:ascii="Calibri" w:hAnsi="Calibri"/>
          <w:b/>
          <w:color w:val="6E8450"/>
          <w:sz w:val="18"/>
        </w:rPr>
        <w:t>50,000 Employees · https://www.caesars.com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Caesars executed a transformative merger with Eldorado Resorts in 2020, creating the largest U.S. casino company by property count, and subsequently built Caesars Digital into a meaningful revenue stream, with Q1 2026 digital revenue hitting a record $374M (up 12% YoY) and adjusted EBITDA of $69M (up 60% YoY) [1]. The pivot from pure brick-and-mortar to an integrated physical-digital gaming platform represents a genuine new revenue stream. AI Deployment (0/2): No evidence of AI-powered products, AI-driven cost savings, or any meaningful AI deployment across casino operations, hospitality, or the digital platform. Market Share (1/2): Caesars is a meaningful player in U.S. gaming — the largest operator by domestic property count — but its digital/sports betting segment trails DraftKings and FanDuel in online market share, and the Las Vegas segment posted flat revenue in Q1 2026 [1]. Product Pipeline (0/2): No specific next-generation products announced beyond geographic expansion of digital sports betting into markets like Alberta, Canada. The pending Fertitta acquisition suggests the company's growth strategy is through consolidation rather than organic innovation. R&amp;D Intensity (0/1): Casino and hospitality operations have minimal R&amp;D expenditure relative to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Caesars positions itself around creating memorable entertainment experiences, but the mission is generic and interchangeable with any hospitality or entertainment company — there is no articulated deeper purpose beyond delivering shareholder value and guest experiences. Community Impact (1/2): Caesars publishes an annual Corporate Social Responsibility Report and maintains a CodeGreen sustainability initiative covering emissions reduction and workforce development across its 50+ properties [3]. The company's ESG risk assessment addresses responsible gaming programs, though specific dollar amounts for community investment were not quantified. Employee Retention (0/2): Hospitality industry fundamentally has high turnover rates. No evidence of above-average employee retention, long average tenure, or distinctive culture programs. The pending Fertitta acquisition creates additional workforce uncertainty. Insider Buying (0/2): No evidence of meaningful net insider buying. With the Fertitta acquisition at $31.00/share pending, insider transaction activity is dominated by deal-related dynamics rather than conviction signals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Caesars' financial profile is severely constrained by its leveraged balance sheet: D/E of 729.9% vastly exceeds the 300% floor (score 0.0), reflecting $25.9B in total debt against $965M cash — a legacy of serial debt-funded acquisitions [1]. ROE of -10.4% (score 0.0, 2x weight) and profit margin of -4.0% (score 0.0) confirm the company remains unprofitable on a GAAP basis, with a TTM net loss despite $11.6B in revenue. Revenue growth of 3% YoY is modest (score 0.77), and the estimated 5-year revenue CAGR of approximately 2% (score 0.47, 2x weight) reflects post-merger stagnation. Forward P/E of 40.4 (score 0.49) prices in a recovery to profitability that has not yet materialized, while Forward PEG of 4.51 exceeds the 3.0 floor (score 0.0, 2x weight). Daily dollar volume of $125M provides adequate liquidity. Weighted sum: 2.19 / 10 = Infrastructure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Caesars operates with a finite game mindset — the pending $17.6B acquisition by Fertitta Entertainment at $31/share is the definitive expression of playing to cash out rather than playing to endure. The company's strategy has been driven by financial engineering (massive debt-funded acquisitions, $25.9B in debt) and consolidation rather than building toward a durable cause. Leadership under CEO Tom Reeg has optimized for debt reduction and near-term EBITDA targets rather than articulating a vision for why Caesars should exist beyond making money.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Caesars exists to operate casinos profitably and grow through acquisition. There is no articulated vision of a future state that transcends the current business model. The decision to sell to Fertitta Entertainment for $31/share confirms that maximizing shareholder value — not advancing an enduring mission — drives strategic decisions [2]. The company's purpose statement about creating memorable entertainment experiences is a description of what any hospitality company does, not a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Caesars maintains a stable organizational structure with defined executive roles — Executive Chairman, CEO, and President/COO — and 50,000 employees across 50+ properties [3]. However, the pending Fertitta acquisition creates uncertainty about organizational continuity, and property-level communication gaps have been noted during the transaction process. No evidence of exceptional trust or empowerment distinguishes Caesars from hospitality industry norms.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Caesars' competitive language centers on market share, property count, and revenue rankings rather than learning from rivals' strengths. The company's digital strategy has been reactive — following DraftKings and FanDuel into sports betting rather than defining or reshaping the category.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Caesars demonstrated meaningful business model evolution by expanding from pure brick-and-mortar casinos into digital sports betting and iCasino through the Caesars Digital platform, which reached record Q1 2026 revenue of $374M [1]. However, this evolution was incremental and industry-wide — all major casino operators launched digital platforms — rather than a transformative pivot driven by a deeper purpose.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sacrificing short-term results for long-term capability. The company's strategic trajectory has been defined by financial optimization: the Eldorado-Caesars merger was a leveraged consolidation play, and selling to Fertitta at a modest premium represents capitulation rather than courage. CEO Tom Reeg's tenure has focused on managing the massive $25.9B debt load inherited from acquisitions rather than making bold long-term investments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Caesars at $29.25 is effectively a deal-arb play, not a fundamental investment. Fertitta Entertainment's all-cash acquisition at $31.00/share — a $17.6B transaction including $11.9B of assumed debt — caps the upside at approximately 6% from current levels while the deal awaits state gaming approvals and a September 22 shareholder vote [2]. The operational profile shows stabilization: Q1 2026 net revenue of $2.9B (up 3% YoY), record Caesars Digital results with $374M revenue and $69M EBITDA, and Las Vegas occupancy at 95.3% [1]. The Digital segment has emerged as the growth engine, expanding into 27 of 34 North American jurisdictions with sports betting and iCasino operations.</w:t>
      </w:r>
    </w:p>
    <w:p>
      <w:pPr>
        <w:spacing w:after="120"/>
      </w:pPr>
      <w:r>
        <w:rPr>
          <w:rFonts w:ascii="Calibri" w:hAnsi="Calibri"/>
          <w:b w:val="0"/>
          <w:color w:val="3A4A28"/>
          <w:sz w:val="20"/>
        </w:rPr>
        <w:t>The bear case is structural even beyond the acquisition dynamics. Caesars carries $25.9B in total debt against $965M cash, producing D/E of 730% and persistent GAAP net losses ($98M in Q1 2026 alone) despite $11.6B in annual revenue — the company has never demonstrated sustained bottom-line profitability under its current capital structure [1]. If the Fertitta deal breaks, the stock faces a significant downside gap to pre-announcement levels. Las Vegas revenue was flat YoY, Regional adjusted EBITDAR declined 1.1%, and only Digital is growing meaningfully. The 3% consolidated revenue growth trails sector averages, and with Forward PEG of 4.51, the market offers no margin of safety for the current earnings trajectory. The company's 50,000 employees face workforce uncertainty under the pending acquisition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Fertitta acquisition closing at $31.00/share following state gaming regulatory approvals and shareholder vote, providing approximately 6% return from current levels [2]</w:t>
      </w:r>
    </w:p>
    <w:p>
      <w:pPr>
        <w:spacing w:before="40" w:after="40"/>
        <w:ind w:left="283"/>
      </w:pPr>
      <w:r>
        <w:rPr>
          <w:rFonts w:ascii="Calibri" w:hAnsi="Calibri"/>
          <w:b/>
          <w:color w:val="4A6B25"/>
          <w:sz w:val="20"/>
        </w:rPr>
        <w:t xml:space="preserve">2. </w:t>
      </w:r>
      <w:r>
        <w:rPr>
          <w:rFonts w:ascii="Calibri" w:hAnsi="Calibri"/>
          <w:b w:val="0"/>
          <w:color w:val="3A4A28"/>
          <w:sz w:val="20"/>
        </w:rPr>
        <w:t>Caesars Digital achieving profitability inflection with record Q1 EBITDA of $69M (up 60% YoY) and expansion into new jurisdictions including Alberta, Canada, as the iGaming and sports betting market matures [1]</w:t>
      </w:r>
    </w:p>
    <w:p>
      <w:pPr>
        <w:spacing w:before="40" w:after="40"/>
        <w:ind w:left="283"/>
      </w:pPr>
      <w:r>
        <w:rPr>
          <w:rFonts w:ascii="Calibri" w:hAnsi="Calibri"/>
          <w:b/>
          <w:color w:val="4A6B25"/>
          <w:sz w:val="20"/>
        </w:rPr>
        <w:t xml:space="preserve">3. </w:t>
      </w:r>
      <w:r>
        <w:rPr>
          <w:rFonts w:ascii="Calibri" w:hAnsi="Calibri"/>
          <w:b w:val="0"/>
          <w:color w:val="3A4A28"/>
          <w:sz w:val="20"/>
        </w:rPr>
        <w:t>Potential for competing acquisition bid — the $31.00/share price represents only a modest premium, leaving room for a topping offer from a strategic or financial buyer with interest in the combined physical-digital gaming platform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Deal break risk — state gaming regulatory approvals required across multiple jurisdictions create execution uncertainty, and the $31.00/share price leaves significant downside to pre-announcement levels if the Fertitta transaction fails [2]</w:t>
      </w:r>
    </w:p>
    <w:p>
      <w:pPr>
        <w:spacing w:before="40" w:after="40"/>
        <w:ind w:left="283"/>
      </w:pPr>
      <w:r>
        <w:rPr>
          <w:rFonts w:ascii="Calibri" w:hAnsi="Calibri"/>
          <w:b/>
          <w:color w:val="4A6B25"/>
          <w:sz w:val="20"/>
        </w:rPr>
        <w:t xml:space="preserve">2. </w:t>
      </w:r>
      <w:r>
        <w:rPr>
          <w:rFonts w:ascii="Calibri" w:hAnsi="Calibri"/>
          <w:b w:val="0"/>
          <w:color w:val="3A4A28"/>
          <w:sz w:val="20"/>
        </w:rPr>
        <w:t>Unsustainable capital structure with $25.9B in debt producing 730% D/E and persistent GAAP losses — even a successful acquisition merely transfers this leverage risk to the combined entity, while a deal break leaves Caesars with no clear path to profitability [1]</w:t>
      </w:r>
    </w:p>
    <w:p>
      <w:pPr>
        <w:spacing w:before="40" w:after="40"/>
        <w:ind w:left="283"/>
      </w:pPr>
      <w:r>
        <w:rPr>
          <w:rFonts w:ascii="Calibri" w:hAnsi="Calibri"/>
          <w:b/>
          <w:color w:val="4A6B25"/>
          <w:sz w:val="20"/>
        </w:rPr>
        <w:t xml:space="preserve">3. </w:t>
      </w:r>
      <w:r>
        <w:rPr>
          <w:rFonts w:ascii="Calibri" w:hAnsi="Calibri"/>
          <w:b w:val="0"/>
          <w:color w:val="3A4A28"/>
          <w:sz w:val="20"/>
        </w:rPr>
        <w:t>Las Vegas revenue stagnation (flat YoY) and Regional EBITDAR decline (-1.1%) signal the core physical casino business has reached a growth ceiling, with only 3% consolidated revenue growth trailing the hospitality sector average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Caesars' core business — operating physical casinos, hotels, restaurants, and entertainment venues — is structurally protected from AI disruption. Guests visit Las Vegas properties for the physical experience of gaming floors, shows, dining, and nightlife that AI cannot replicate, as evidenced by 95.3% Las Vegas occupancy in Q1 2026 [1]. Regional casino operations similarly depend on physical infrastructure and regulated gaming licenses that create high barriers to digital substitution. However, the Digital segment ($374M/quarter) faces competitive dynamics where AI-powered personalization, recommendation engines, and automated customer acquisition from DraftKings and FanDuel could erode Caesars' online market position if it fails to invest in comparable technology. AI Opportunity (0/1): No evidence of quantifiable AI revenue. While casino operators could theoretically deploy AI for player analytics and yield management, Caesars has not reported any AI-driven revenue streams or specific cost savings from AI deployment.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-77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r>
        <w:rPr>
          <w:rFonts w:ascii="Calibri" w:hAnsi="Calibri"/>
          <w:b w:val="0"/>
          <w:color w:val="9DAF88"/>
          <w:sz w:val="17"/>
        </w:rPr>
        <w:t xml:space="preserve">  ·  </w:t>
      </w:r>
      <w:r>
        <w:rPr>
          <w:rFonts w:ascii="Calibri" w:hAnsi="Calibri"/>
          <w:b/>
          <w:color w:val="DC2626"/>
          <w:sz w:val="17"/>
        </w:rPr>
        <w:t xml:space="preserve"> LGBT Activism </w:t>
      </w:r>
      <w:r>
        <w:rPr>
          <w:rFonts w:ascii="Calibri" w:hAnsi="Calibri"/>
          <w:b w:val="0"/>
          <w:color w:val="9DAF88"/>
          <w:sz w:val="17"/>
        </w:rPr>
        <w:t xml:space="preserve">  ·  </w:t>
      </w:r>
      <w:r>
        <w:rPr>
          <w:rFonts w:ascii="Calibri" w:hAnsi="Calibri"/>
          <w:b/>
          <w:color w:val="DC2626"/>
          <w:sz w:val="17"/>
        </w:rPr>
        <w:t xml:space="preserve"> Sexually Explicit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Caesars Entertainment Q1 FY2026 Earnings Release — Net Revenue $2.9B (+3% YoY), Digital Revenue $374M Record, Adjusted EBITDAR $887M — SEC Form 8-K, April 2026</w:t>
      </w:r>
    </w:p>
    <w:p>
      <w:pPr>
        <w:spacing w:before="20" w:after="20"/>
        <w:ind w:left="170"/>
      </w:pPr>
      <w:r>
        <w:rPr>
          <w:rFonts w:ascii="Calibri" w:hAnsi="Calibri"/>
          <w:b/>
          <w:color w:val="4A6B25"/>
          <w:sz w:val="15"/>
        </w:rPr>
        <w:t xml:space="preserve">2. </w:t>
      </w:r>
      <w:r>
        <w:rPr>
          <w:rFonts w:ascii="Calibri" w:hAnsi="Calibri"/>
          <w:b w:val="0"/>
          <w:color w:val="3A4A28"/>
          <w:sz w:val="17"/>
        </w:rPr>
        <w:t>Fertitta Entertainment Acquisition of Caesars Entertainment — $31.00/Share All-Cash, $17.6B Transaction Value — SEC DEFA14A, Gambling Insider, Inside Arbitrage, May 2026</w:t>
      </w:r>
    </w:p>
    <w:p>
      <w:pPr>
        <w:spacing w:before="20" w:after="20"/>
        <w:ind w:left="170"/>
      </w:pPr>
      <w:r>
        <w:rPr>
          <w:rFonts w:ascii="Calibri" w:hAnsi="Calibri"/>
          <w:b/>
          <w:color w:val="4A6B25"/>
          <w:sz w:val="15"/>
        </w:rPr>
        <w:t xml:space="preserve">3. </w:t>
      </w:r>
      <w:r>
        <w:rPr>
          <w:rFonts w:ascii="Calibri" w:hAnsi="Calibri"/>
          <w:b w:val="0"/>
          <w:color w:val="3A4A28"/>
          <w:sz w:val="17"/>
        </w:rPr>
        <w:t>Caesars Entertainment Corporate Social Responsibility and ESG Risk Assessment — SEC Form 10-K FY2024, Caesars ESG Brochure</w:t>
      </w:r>
    </w:p>
    <w:p>
      <w:pPr>
        <w:spacing w:before="20" w:after="20"/>
        <w:ind w:left="170"/>
      </w:pPr>
      <w:r>
        <w:rPr>
          <w:rFonts w:ascii="Calibri" w:hAnsi="Calibri"/>
          <w:b/>
          <w:color w:val="4A6B25"/>
          <w:sz w:val="15"/>
        </w:rPr>
        <w:t xml:space="preserve">4. </w:t>
      </w:r>
      <w:r>
        <w:rPr>
          <w:rFonts w:ascii="Calibri" w:hAnsi="Calibri"/>
          <w:b w:val="0"/>
          <w:color w:val="3A4A28"/>
          <w:sz w:val="17"/>
        </w:rPr>
        <w:t>CDCGaming — Caesars Q4 2025 Revenue and Regional Properties Growth,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