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DBRG</w:t>
      </w:r>
      <w:r>
        <w:rPr>
          <w:rFonts w:ascii="Calibri" w:hAnsi="Calibri"/>
          <w:b/>
          <w:color w:val="1A2010"/>
          <w:sz w:val="40"/>
        </w:rPr>
        <w:t xml:space="preserve">  DigitalBridge Group, Inc.</w:t>
      </w:r>
    </w:p>
    <w:p>
      <w:pPr>
        <w:spacing w:after="120"/>
      </w:pPr>
      <w:r>
        <w:rPr>
          <w:rFonts w:ascii="Calibri" w:hAnsi="Calibri"/>
          <w:b/>
          <w:color w:val="6E8450"/>
          <w:sz w:val="18"/>
        </w:rPr>
        <w:t>GROWTH SLEEVE · 2026-08-25 · Inspire: 56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DigitalBridge Group, Inc. is a global alternative asset manager dedicated exclusively to digital infrastructure investments, including data centers, cell towers, fiber networks, small cells, and edge infrastructure. The firm manages approximately $40.2B in fee-earning equity under management (FEEUM) as of June 30, 2026. Founded by Marc Ganzi, DigitalBridge sits at the convergence of power and data infrastructure. Q2 2026 reported total revenue of $508.7M with GAAP EPS of $1.15 and net income of $212.7M. In December 2025, SoftBank Group announced a definitive agreement to acquire DigitalBridge for $16.00 per share (~$4.0B enterprise value), with stockholder approval received April 23, 2026 and closing expected H2 2026.</w:t>
      </w:r>
    </w:p>
    <w:p>
      <w:r>
        <w:rPr>
          <w:rFonts w:ascii="Calibri" w:hAnsi="Calibri"/>
          <w:b/>
          <w:color w:val="6E8450"/>
          <w:sz w:val="18"/>
        </w:rPr>
        <w:t>311 Employees · https://www.digitalbridge.com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DigitalBridge completed a transformative pivot from a diversified REIT (Colony Capital) to a pure-play digital infrastructure asset manager between 2020 and 2023, divesting legacy real estate and hospitality assets while building a focused digital infrastructure platform [1][2]. The 2025 acquisition of Yondr Group (hyperscale data center developer with 1GW+ capacity) expanded the firm's AI-critical footprint. FEEUM grew from $32.8B to $40.2B by June 2026, representing 22% growth [1]. AI Deployment (1/2): DigitalBridge's portfolio companies are direct enablers of AI workloads — data center platforms serve hyperscale cloud and AI customers. Marc Ganzi describes the AI ecosystem in layers ('power at the foundation, compute, connectivity') and the ArcLight acquisition paired digital infrastructure with industrial power [3]. However, DigitalBridge itself is an asset manager, not a technology company deploying AI internally. Market Share (1/2): DigitalBridge is among the largest dedicated digital infrastructure investment managers globally with $40.2B FEEUM, but competes with larger alternative asset managers (Brookfield, KKR) that also deploy into digital infrastructure [1]. The pure-play focus is a differentiator but scale remains a constraint. Product Pipeline (1/2): The DBP III fund secured $11.7B in commitments, and the Takanock platform addressing data center power needs represents a differentiated offering. However, Q2 2026 fee revenue of $88.1M with FRE margins compressed to 30% (cash compensation up 19% YoY) signals near-term execution pressure [4]. R&amp;D Intensity (1/1): As a 311-person asset manager, DigitalBridge invests heavily in platform capabilities and portfolio company development relative to its size, including the ArcLight power infrastructure acquisition.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DigitalBridge's purpose centers on connecting global communities through investment in the digital backbone. Marc Ganzi's convergence thesis — that power and data are inextricably linked — provides intellectual coherence to the firm's strategy [3]. The mission is clear and identifies what the company does but does not articulate a deeper transformative purpose beyond industry leadership in digital infrastructure. Community Impact (1/2): DigitalBridge has published ESG reports with a net-zero-by-2030 commitment, supports Telecoms Sans Frontieres (emergency technology for humanitarian crises), and participates in Big Brothers Big Sisters [5]. Meaningful but not distinctive at scale. Employee Retention (1/2): With only 311 employees, DigitalBridge operates as a lean, specialized investment team. Marc Ganzi's leadership since 2020 provides continuity, and the retention of key investment professionals through both the Colony Capital transformation and the SoftBank acquisition process suggests strong internal culture. Ganzi emphasizes 'protecting the CEOs inside portfolio companies' and retaining operational leaders [3]. Insider Buying (1/2): The SoftBank acquisition at $16/share limits signal value of recent insider transactions. No significant net insider buying was identified independent of the merger context.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DigitalBridge's balance sheet is exceptionally clean with D/E of just 14%, reflecting the asset-light model after deconsolidating portfolio companies [1]. Q2 2026 delivered total revenue of $508.7M with GAAP net income of $212.7M ($1.15 EPS), driven by investment income and carried interest realizations [4]. However, fee revenue of $88.1M with FRE of $26.6M showed FRE margin compression to 30% as compensation costs rose 19% YoY, signaling near-term operating pressure despite FEEUM growth to $40.2B [4]. ROE of ~3.6% is well below the 15% target, reflecting the early-stage scaling of the pure-play model. Forward P/E of 37.05 is elevated but largely reflects the SoftBank acquisition premium with stock trading at $15.80 vs $16.00 offer price. Profit margin of 11.6% is developing. Liquidity floor cleared with ~$36M average daily dollar volume on ~2.3M average daily shares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DigitalBridge under Marc Ganzi demonstrates meaningful infinite-game characteristics, most notably the courageous transformation from Colony Capital's diversified REIT model to a pure-play digital infrastructure asset manager — a multi-year pivot requiring the abandonment of legacy businesses for long-term positioning. Ganzi's convergence thesis (power + data) provides intellectual coherence. However, the SoftBank acquisition introduces uncertainty about organizational continuity and purpose, and the company's short history as DigitalBridge (rebranded 2021) limits the evidence base. The decision to sell to SoftBank at $16/share, while crystallizing value, suggests a finite-game exit over infinite-game independence.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DigitalBridge's purpose of connecting global communities through digital infrastructure investment is genuine and connects the firm's work to bridging the digital divide. Marc Ganzi consistently articulates the convergence thesis — that power and data are inextricably linked — as a guiding framework, estimating a 38-gigawatt AI infrastructure opportunity [3]. Strategic decisions (exiting legacy real estate, acquiring Yondr, building the ArcLight power platform) trace back to this thesis. However, the agreement to sell to SoftBank raises questions about whether the cause will survive the ownership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311 employees, DigitalBridge operates as a tight-knit, specialized investment team. Key investment professionals have remained through both the Colony Capital transformation and the SoftBank acquisition process [1][3]. Marc Ganzi's leadership style emphasizes protecting portfolio company leadership and retaining operational talent. SoftBank's announcement that DigitalBridge will 'continue to operate as a separately managed platform, led by Marc Ganzi' signals trust in the existing team [2]. No evidence of cultural issues or significant turnover.</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DigitalBridge acknowledges larger competitors like Brookfield Infrastructure and KKR's digital infrastructure arms. Rather than out-scaling broader platforms, DigitalBridge differentiated through pure-play digital focus and operational sector expertise. The SoftBank partnership — itself a worthy rival in infrastructure investing — reflects a mindset of collaboration and capability-building over zero-sum competition [2][3].</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transformation from Colony Capital (a diversified REIT with hotels, healthcare, and legacy real estate) to DigitalBridge (a pure-play digital infrastructure asset manager) is a textbook example of existential flexibility [1][2]. Between 2020 and 2023, the company divested billions in legacy assets, rebranded entirely, and rebuilt around a single conviction: digital infrastructure is the critical asset class of the 21st century. This was not a desperate pivot — it was a deliberate strategic choice driven by Marc Ganzi's conviction about the convergence of power and data.</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Marc Ganzi demonstrated meaningful courage driving the Colony-to-DigitalBridge transformation, accepting years of investor skepticism to reposition the company. The acquisition of ArcLight to pair power with data infrastructure shows bold, thesis-driven capital allocation [3]. However, the decision to sell to SoftBank at $16/share, while value-crystallizing for shareholders, could be viewed as choosing certainty and a finite exit over the potentially larger long-term payoff of independent growth through the AI infrastructure supercycle.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DigitalBridge is a uniquely positioned pure-play digital infrastructure asset manager with FEEUM growing 22% to $40.2B as of June 2026, managing portfolio companies at the nexus of AI infrastructure demand [1]. Q2 2026 delivered total revenue of $508.7M with GAAP net income of $212.7M ($1.15 EPS), driven by investment realizations as the digital infrastructure market matures [4]. The SoftBank acquisition at $16.00/share (stockholder approved April 2026, closing expected H2 2026) validates the thesis that AI infrastructure is the defining asset class of the decade — SoftBank explicitly cited DigitalBridge's capabilities for the projected $6.7T AI infrastructure market by 2030 [2]. Marc Ganzi's convergence framework (power + data, estimating 38GW of AI demand) provides a differentiated investment lens. The Inspire Impact Score of 56 (ALIGNED) with zero negative attributions positions DBRG favorably for faith-based investors.</w:t>
      </w:r>
    </w:p>
    <w:p>
      <w:pPr>
        <w:spacing w:after="120"/>
      </w:pPr>
      <w:r>
        <w:rPr>
          <w:rFonts w:ascii="Calibri" w:hAnsi="Calibri"/>
          <w:b w:val="0"/>
          <w:color w:val="3A4A28"/>
          <w:sz w:val="20"/>
        </w:rPr>
        <w:t>The primary consideration is that DBRG is now a merger arbitrage situation with limited upside. The stock trades at ~$15.80 against the $16.00 acquisition price, offering minimal return beyond the ~1.3% spread to close [6]. If the SoftBank deal were to break, standalone valuation at 37x forward earnings is elevated for an asset manager with ~3.6% ROE and FRE margin compression to 30% (down from 38% as compensation costs rose 19% YoY in Q2 2026) [4]. The fee revenue of $88.1M in Q2 declined 17% YoY even as FEEUM grew, signaling a disconnect between asset growth and near-term monetization. Post-acquisition, DigitalBridge will be privately held under SoftBank, eliminating the public equity investment opportunity. For current holders, the calculus is simple: hold for the ~$0.20/share merger spread or redeploy capital. GAAP financials remain complex — the $508.7M in total revenue includes investment income and carried interest that obscure underlying fee economics.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SoftBank acquisition closing expected H2 2026 at $16.00/share — stockholder approved April 23, 2026, providing near-term price certainty with ~1.3% remaining spread [2]</w:t>
      </w:r>
    </w:p>
    <w:p>
      <w:pPr>
        <w:spacing w:before="40" w:after="40"/>
        <w:ind w:left="283"/>
      </w:pPr>
      <w:r>
        <w:rPr>
          <w:rFonts w:ascii="Calibri" w:hAnsi="Calibri"/>
          <w:b/>
          <w:color w:val="4A6B25"/>
          <w:sz w:val="20"/>
        </w:rPr>
        <w:t xml:space="preserve">2. </w:t>
      </w:r>
      <w:r>
        <w:rPr>
          <w:rFonts w:ascii="Calibri" w:hAnsi="Calibri"/>
          <w:b w:val="0"/>
          <w:color w:val="3A4A28"/>
          <w:sz w:val="20"/>
        </w:rPr>
        <w:t>FEEUM growth to $40.2B (+22%) validates the secular demand for digital infrastructure capital, with DBP III fund at $11.7B in commitments targeting AI-era data centers and the 38GW AI power opportunity [1][3]</w:t>
      </w:r>
    </w:p>
    <w:p>
      <w:pPr>
        <w:spacing w:before="40" w:after="40"/>
        <w:ind w:left="283"/>
      </w:pPr>
      <w:r>
        <w:rPr>
          <w:rFonts w:ascii="Calibri" w:hAnsi="Calibri"/>
          <w:b/>
          <w:color w:val="4A6B25"/>
          <w:sz w:val="20"/>
        </w:rPr>
        <w:t xml:space="preserve">3. </w:t>
      </w:r>
      <w:r>
        <w:rPr>
          <w:rFonts w:ascii="Calibri" w:hAnsi="Calibri"/>
          <w:b w:val="0"/>
          <w:color w:val="3A4A28"/>
          <w:sz w:val="20"/>
        </w:rPr>
        <w:t>ArcLight power infrastructure acquisition positions DigitalBridge uniquely at the convergence of power and data — Marc Ganzi's thesis that every gigawatt of AI compute requires dedicated power infrastructure is being validated by hyperscaler capex plans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SoftBank acquisition risk — any regulatory delay, financing issue, or deal break would expose a standalone business trading at 37x forward earnings with ~3.6% ROE and FRE margin compression to 30%, creating significant downside [2][4]</w:t>
      </w:r>
    </w:p>
    <w:p>
      <w:pPr>
        <w:spacing w:before="40" w:after="40"/>
        <w:ind w:left="283"/>
      </w:pPr>
      <w:r>
        <w:rPr>
          <w:rFonts w:ascii="Calibri" w:hAnsi="Calibri"/>
          <w:b/>
          <w:color w:val="4A6B25"/>
          <w:sz w:val="20"/>
        </w:rPr>
        <w:t xml:space="preserve">2. </w:t>
      </w:r>
      <w:r>
        <w:rPr>
          <w:rFonts w:ascii="Calibri" w:hAnsi="Calibri"/>
          <w:b w:val="0"/>
          <w:color w:val="3A4A28"/>
          <w:sz w:val="20"/>
        </w:rPr>
        <w:t>Fee revenue declined 17% YoY in Q2 2026 with FRE margins compressing to 30% as cash compensation rose 19%, signaling that FEEUM growth is not immediately translating into proportional fee monetization [4]</w:t>
      </w:r>
    </w:p>
    <w:p>
      <w:pPr>
        <w:spacing w:before="40" w:after="40"/>
        <w:ind w:left="283"/>
      </w:pPr>
      <w:r>
        <w:rPr>
          <w:rFonts w:ascii="Calibri" w:hAnsi="Calibri"/>
          <w:b/>
          <w:color w:val="4A6B25"/>
          <w:sz w:val="20"/>
        </w:rPr>
        <w:t xml:space="preserve">3. </w:t>
      </w:r>
      <w:r>
        <w:rPr>
          <w:rFonts w:ascii="Calibri" w:hAnsi="Calibri"/>
          <w:b w:val="0"/>
          <w:color w:val="3A4A28"/>
          <w:sz w:val="20"/>
        </w:rPr>
        <w:t>Post-acquisition delisting eliminates the public equity investment opportunity — current position becomes a time-limited merger arb with minimal upside beyond the ~$0.20/share spread to the $16.00 offer price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DigitalBridge is the definition of AI-immune infrastructure — the company invests in the physical assets (data centers, towers, fiber) that AI requires to function. AI cannot replace data centers; it requires more of them. SoftBank's $4B acquisition was explicitly motivated by scaling 'next-gen AI infrastructure,' validating that DigitalBridge's assets become more valuable as AI scales [2]. Marc Ganzi estimates the AI opportunity at 38 gigawatts of power demand, and the ArcLight acquisition positions the firm at the power-data convergence [3]. Every major AI model deployment requires the physical infrastructure DigitalBridge's portfolio companies build and operate. FEEUM grew 22% to $40.2B as institutional capital floods into digital infrastructure [1]. AI Opportunity (1/1): DigitalBridge generates substantial revenue directly from AI infrastructure — its data center portfolio companies serve hyperscale AI customers, the DBP III fund's $11.7B in commitments target AI-enabling infrastructure, and the Yondr Group acquisition added 1GW+ of hyperscale data center capacity specifically for AI workloads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DigitalBridge Q1 2026 and FY2025 Earnings — FEEUM $32.8B to $40.2B, Fee Revenue $375M (FY2025 +14% YoY), Colony-to-DigitalBridge Transformation — SEC 8-K, April 2026</w:t>
      </w:r>
    </w:p>
    <w:p>
      <w:pPr>
        <w:spacing w:before="20" w:after="20"/>
        <w:ind w:left="170"/>
      </w:pPr>
      <w:r>
        <w:rPr>
          <w:rFonts w:ascii="Calibri" w:hAnsi="Calibri"/>
          <w:b/>
          <w:color w:val="4A6B25"/>
          <w:sz w:val="15"/>
        </w:rPr>
        <w:t xml:space="preserve">2. </w:t>
      </w:r>
      <w:r>
        <w:rPr>
          <w:rFonts w:ascii="Calibri" w:hAnsi="Calibri"/>
          <w:b w:val="0"/>
          <w:color w:val="3A4A28"/>
          <w:sz w:val="17"/>
        </w:rPr>
        <w:t>SoftBank Group to Acquire DigitalBridge for $4 Billion ($16.00/share) — Stockholder Approval April 23, 2026, Expected Close H2 2026 — BusinessWire, CNBC, ir.digitalbridge.com, December 2025</w:t>
      </w:r>
    </w:p>
    <w:p>
      <w:pPr>
        <w:spacing w:before="20" w:after="20"/>
        <w:ind w:left="170"/>
      </w:pPr>
      <w:r>
        <w:rPr>
          <w:rFonts w:ascii="Calibri" w:hAnsi="Calibri"/>
          <w:b/>
          <w:color w:val="4A6B25"/>
          <w:sz w:val="15"/>
        </w:rPr>
        <w:t xml:space="preserve">3. </w:t>
      </w:r>
      <w:r>
        <w:rPr>
          <w:rFonts w:ascii="Calibri" w:hAnsi="Calibri"/>
          <w:b w:val="0"/>
          <w:color w:val="3A4A28"/>
          <w:sz w:val="17"/>
        </w:rPr>
        <w:t>Marc Ganzi AI Infrastructure Vision — 38GW AI Opportunity, ArcLight Acquisition, Power-Data Convergence, DBP III $11.7B — Megaport Podcast, LinkedIn, InfraAI Global Summit, 2025-2026</w:t>
      </w:r>
    </w:p>
    <w:p>
      <w:pPr>
        <w:spacing w:before="20" w:after="20"/>
        <w:ind w:left="170"/>
      </w:pPr>
      <w:r>
        <w:rPr>
          <w:rFonts w:ascii="Calibri" w:hAnsi="Calibri"/>
          <w:b/>
          <w:color w:val="4A6B25"/>
          <w:sz w:val="15"/>
        </w:rPr>
        <w:t xml:space="preserve">4. </w:t>
      </w:r>
      <w:r>
        <w:rPr>
          <w:rFonts w:ascii="Calibri" w:hAnsi="Calibri"/>
          <w:b w:val="0"/>
          <w:color w:val="3A4A28"/>
          <w:sz w:val="17"/>
        </w:rPr>
        <w:t>DigitalBridge Q2 2026 Results — Revenue $508.7M, EPS $1.15, GAAP NI $212.7M, Fee Revenue $88.1M, FRE $26.6M, FRE Margin 30% (comp +19% YoY) — SEC 10-Q, TradingView, August 2026</w:t>
      </w:r>
    </w:p>
    <w:p>
      <w:pPr>
        <w:spacing w:before="20" w:after="20"/>
        <w:ind w:left="170"/>
      </w:pPr>
      <w:r>
        <w:rPr>
          <w:rFonts w:ascii="Calibri" w:hAnsi="Calibri"/>
          <w:b/>
          <w:color w:val="4A6B25"/>
          <w:sz w:val="15"/>
        </w:rPr>
        <w:t xml:space="preserve">5. </w:t>
      </w:r>
      <w:r>
        <w:rPr>
          <w:rFonts w:ascii="Calibri" w:hAnsi="Calibri"/>
          <w:b w:val="0"/>
          <w:color w:val="3A4A28"/>
          <w:sz w:val="17"/>
        </w:rPr>
        <w:t>DigitalBridge ESG and Community — Net Zero by 2030, Telecoms Sans Frontieres, Big Brothers Big Sisters — digitalbridge.com ESG Report, 2023-2026</w:t>
      </w:r>
    </w:p>
    <w:p>
      <w:pPr>
        <w:spacing w:before="20" w:after="20"/>
        <w:ind w:left="170"/>
      </w:pPr>
      <w:r>
        <w:rPr>
          <w:rFonts w:ascii="Calibri" w:hAnsi="Calibri"/>
          <w:b/>
          <w:color w:val="4A6B25"/>
          <w:sz w:val="15"/>
        </w:rPr>
        <w:t xml:space="preserve">6. </w:t>
      </w:r>
      <w:r>
        <w:rPr>
          <w:rFonts w:ascii="Calibri" w:hAnsi="Calibri"/>
          <w:b w:val="0"/>
          <w:color w:val="3A4A28"/>
          <w:sz w:val="17"/>
        </w:rPr>
        <w:t>Yahoo Finance, StockAnalysis — DBRG Key Statistics: Stock Price $15.80, Forward P/E 37.05, P/E 30.01, D/E 14%, ROE ~3.6%, Profit Margin 11.6%, Avg Volume ~2.3M,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