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DEI</w:t>
      </w:r>
      <w:r>
        <w:rPr>
          <w:rFonts w:ascii="Calibri" w:hAnsi="Calibri"/>
          <w:b/>
          <w:color w:val="1A2010"/>
          <w:sz w:val="40"/>
        </w:rPr>
        <w:t xml:space="preserve">  Douglas Emmett, Inc.</w:t>
      </w:r>
    </w:p>
    <w:p>
      <w:pPr>
        <w:spacing w:after="120"/>
      </w:pPr>
      <w:r>
        <w:rPr>
          <w:rFonts w:ascii="Calibri" w:hAnsi="Calibri"/>
          <w:b/>
          <w:color w:val="6E8450"/>
          <w:sz w:val="18"/>
        </w:rPr>
        <w:t>DIVIDEND SLEEVE · 2026-09-05 · Inspire: 12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Office · NYSE · United States</w:t>
      </w:r>
    </w:p>
    <w:p>
      <w:pPr>
        <w:spacing w:after="80"/>
      </w:pPr>
      <w:r>
        <w:rPr>
          <w:rFonts w:ascii="Calibri" w:hAnsi="Calibri"/>
          <w:b w:val="0"/>
          <w:color w:val="3A4A28"/>
          <w:sz w:val="20"/>
        </w:rPr>
        <w:t>Douglas Emmett is a fully integrated, self-administered REIT that owns and operates Class A office and multifamily properties in high-barrier coastal submarkets of Los Angeles and Honolulu. The portfolio includes approximately 17.6 million square feet of office space and 4,381 multifamily units. CEO Jordan Kaplan has led the company since its 2006 IPO. Q2 2026 revenue was $283.4M with adjusted core revenue up 8.6% YoY excluding the divested property management business, though the company remains in net loss territory with 2026 FFO guidance of $1.39-$1.43 per share.</w:t>
      </w:r>
    </w:p>
    <w:p>
      <w:r>
        <w:rPr>
          <w:rFonts w:ascii="Calibri" w:hAnsi="Calibri"/>
          <w:b/>
          <w:color w:val="6E8450"/>
          <w:sz w:val="18"/>
        </w:rPr>
        <w:t>778 Employees · https://www.douglasemmett.com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Douglas Emmett has not executed any meaningful product launches, market pivots, or business model transformations in the last 5 years — the company operates the same Class A office and multifamily portfolio in the same LA and Honolulu coastal submarkets it has held since its 2006 IPO [1]. No new business lines, no geographic diversification, no platform innovations. AI Deployment (0/2): No evidence of AI-powered products, services, or internal AI-driven cost savings. The company has not discussed AI deployment in earnings calls beyond acknowledging sector-wide disruption concerns [2]. Market Share (1/2): Douglas Emmett is a meaningful player in its niche — a dominant Class A office landlord in West LA submarkets (Beverly Hills, Brentwood, Century City, Santa Monica) and Honolulu with high-barrier-to-entry locations that limit new supply [1]. However, it is not gaining share or defining a new category. Product Pipeline (0/2): No next-generation properties or strategic initiatives with specific timelines. Strategy remains focused on leasing existing inventory, with 960,000 sq ft of office leases signed in Q2 2026 [3]. R&amp;D Intensity (0/1): As a REIT, Douglas Emmett has no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Douglas Emmett's purpose is generic REIT language focused on owning premier properties in high-barrier coastal markets — interchangeable with any premium office REIT and does not articulate a deeper purpose beyond real estate returns [1]. Community Impact (1/2): Founder and Chairman Dan Emmett has meaningful environmental credentials — he founded environmental organizations in California and served as Chair of the California Governor's Green Building Initiative promoting energy-efficient buildings [4]. The company has reduced GHG emissions 13% vs. 2019 with a 30% reduction target by 2035, and 84% of eligible office space earned Energy Star Certification in 2024 [4]. Employee Retention (1/2): Exceptionally long-tenured leadership — CEO Jordan Kaplan has served 21 years since 2005, and COO Kenneth Panzer is an original founder, making DEI one of the few large-cap REITs still managed by its founding team [2]. With only 778 employees, broader retention data is limited.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Douglas Emmett's infrastructure is strained by a heavily leveraged balance sheet with D/E of 297.49% — nearly at the 300% scoring floor — reflecting $5.59B in debt against $357M cash [5]. ROE is negative at -1.41% and TTM profit margin is -6.84%, both scoring 0 as the company posts net losses with 2026 diluted EPS guided at -$0.16 to -$0.20 [3]. Q2 2026 core revenue (excluding divested property management) rose 8.6% YoY to $283.4M, a meaningful improvement from prior quarters [3]. The payout ratio of approximately 53% of FFO provides moderate dividend coverage. The primary positive is 20 consecutive years of dividend payments since the 2006 IPO, earning full marks on that 2x-weighted metric. However, the dividend has been flat at $0.19/quarter since the 2020 cut from $0.28, resulting in 0% 5-year dividend growth CAGR and 0 consecutive years of growth. Forward P/E is excluded with negative earnings. Liquidity floor easily clears at ~$33.7M daily dollar volume (2.5M shares x $13.36).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Douglas Emmett operates with a predominantly finite mindset — the company exists to generate real estate returns in premium coastal markets and has shown no evidence of a purpose beyond shareholder value. The 21-year CEO tenure and founder-led management provide stability but reflect entrenchment rather than mission-driven leadership. The company has not pivoted, reinvented itself, or made any transformative strategic decisions in its history, maintaining the same office/multifamily portfolio in the same two metro areas since inception.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Douglas Emmett has no articulated just cause. The company's purpose is to own and operate premier office and multifamily properties in high-barrier coastal markets and generate returns for shareholders [1]. There is no vision of a future state that inspires sacrifice or invites others to contribute. Strategic decisions are driven by real estate economics (cap rates, lease spreads, interest rates), not by a larger purpose. This is a finite player by Sinek's definition.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Douglas Emmett has a stable, long-tenured leadership team — CEO Kaplan (21 years) and COO Panzer are original founders still actively managing the company, which is rare among large-cap REITs [2]. The lean team of 778 employees suggests a consistent operation. However, there is no evidence of exceptional employee empowerment, psychological safety, or cultural practices beyond standard corporate governance.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Douglas Emmett frames competition in terms of self-improvement or learning from rivals. The company's competitive positioning is geographic (high-barrier markets) rather than strategic. Management commentary focuses on portfolio metrics (occupancy, lease spreads) rather than competitive dynamics or acknowledging rivals' strengths [3].</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Douglas Emmett has never made a transformative strategic pivot. The company has owned the same asset types (Class A office and multifamily) in the same two markets (Los Angeles and Honolulu) since its founding. No new geographies, no new asset classes, no business model innovation. While peers like Cousins Properties and Kilroy have pivoted toward life science or mixed-use, DEI maintains its original strategy amid secular office demand decline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Douglas Emmett has shown some willingness to invest for the long term through sustainability initiatives — reducing GHG emissions 13% since 2019 with a 30% target by 2035 and achieving 84% Energy Star Certification across eligible office space [4]. Chairman Dan Emmett's environmental leadership through the Governor's Green Building Initiative reflects genuine conviction. However, these are incremental improvements rather than costly long-term bets, and the 2020 dividend cut from $0.28 to $0.19 was pragmatic survival rather than courageous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Douglas Emmett at $13.36 trades at a steep discount to NAV, reflecting the market's deep skepticism toward office REITs amid AI disruption fears and elevated interest rates. The bull case rests on the irreplaceability of the company's coastal LA and Honolulu portfolio — high-barrier submarkets with structural supply constraints where Class A office serves entertainment, legal, and financial services tenants. Q2 2026 showed positive absorption of 60,000 sq ft with 3.2% straight-line rent increases and core revenue up 8.6% YoY excluding the divested property management business [3]. The 6.51% dividend yield ($0.76/year) provides income while investors wait for a potential office recovery, and the founder-led management team has navigated multiple real estate cycles over 21 years [2]. Multifamily occupancy at 98% provides a ballast against office headwinds.</w:t>
      </w:r>
    </w:p>
    <w:p>
      <w:pPr>
        <w:spacing w:after="120"/>
      </w:pPr>
      <w:r>
        <w:rPr>
          <w:rFonts w:ascii="Calibri" w:hAnsi="Calibri"/>
          <w:b w:val="0"/>
          <w:color w:val="3A4A28"/>
          <w:sz w:val="20"/>
        </w:rPr>
        <w:t>The bear case is severe and structural. D/E of 297.49% reflects $5.59B in debt against a $2.24B market cap — a leveraged capital structure where higher-for-longer interest rates directly compress FFO, which fell from $1.71 to $1.45 per share in 2025 and is guided to $1.39-$1.43 in 2026 [3]. Net income remains negative with 2026 EPS guided at -$0.16 to -$0.20. The dividend has been frozen at $0.19/quarter since the 2020 cut from $0.28, offering zero growth and a 0% 5-year dividend CAGR. AI-driven automation of knowledge work threatens structural demand decline for office space — the market has already priced this in with office REIT multiples at deep discounts [2]. ROE is negative at -1.41% and profit margin at -6.84%, indicating the company is not generating adequate returns. With a SELL recommendation at an overall score of 33, the combination of near-floor leverage, negative earnings, zero dividend growth, and secular AI headwinds makes this a value trap rather than a recovery story.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Federal Reserve rate cuts could significantly reduce Douglas Emmett's $5.59B debt servicing burden and improve FFO — each 100bp reduction saves approximately $56M annually, potentially restoring positive net income and enabling dividend growth [3]</w:t>
      </w:r>
    </w:p>
    <w:p>
      <w:pPr>
        <w:spacing w:before="40" w:after="40"/>
        <w:ind w:left="283"/>
      </w:pPr>
      <w:r>
        <w:rPr>
          <w:rFonts w:ascii="Calibri" w:hAnsi="Calibri"/>
          <w:b/>
          <w:color w:val="4A6B25"/>
          <w:sz w:val="20"/>
        </w:rPr>
        <w:t xml:space="preserve">2. </w:t>
      </w:r>
      <w:r>
        <w:rPr>
          <w:rFonts w:ascii="Calibri" w:hAnsi="Calibri"/>
          <w:b w:val="0"/>
          <w:color w:val="3A4A28"/>
          <w:sz w:val="20"/>
        </w:rPr>
        <w:t>Q2 2026 leasing momentum — 960,000 sq ft signed with positive absorption and 3.2% rent increases — could accelerate if return-to-office mandates expand across major LA employers in entertainment and professional services [3]</w:t>
      </w:r>
    </w:p>
    <w:p>
      <w:pPr>
        <w:spacing w:before="40" w:after="40"/>
        <w:ind w:left="283"/>
      </w:pPr>
      <w:r>
        <w:rPr>
          <w:rFonts w:ascii="Calibri" w:hAnsi="Calibri"/>
          <w:b/>
          <w:color w:val="4A6B25"/>
          <w:sz w:val="20"/>
        </w:rPr>
        <w:t xml:space="preserve">3. </w:t>
      </w:r>
      <w:r>
        <w:rPr>
          <w:rFonts w:ascii="Calibri" w:hAnsi="Calibri"/>
          <w:b w:val="0"/>
          <w:color w:val="3A4A28"/>
          <w:sz w:val="20"/>
        </w:rPr>
        <w:t>Office-to-residential conversion or portfolio repositioning in premium LA submarkets could unlock embedded land value as California streamlines conversion regulations and housing demand remains acute in coastal markets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structural decline in office demand as automation of knowledge work reduces headcount and enables distributed/remote workflows, threatening long-term occupancy and rent growth across Douglas Emmett's 17.6M sq ft office portfolio [2]</w:t>
      </w:r>
    </w:p>
    <w:p>
      <w:pPr>
        <w:spacing w:before="40" w:after="40"/>
        <w:ind w:left="283"/>
      </w:pPr>
      <w:r>
        <w:rPr>
          <w:rFonts w:ascii="Calibri" w:hAnsi="Calibri"/>
          <w:b/>
          <w:color w:val="4A6B25"/>
          <w:sz w:val="20"/>
        </w:rPr>
        <w:t xml:space="preserve">2. </w:t>
      </w:r>
      <w:r>
        <w:rPr>
          <w:rFonts w:ascii="Calibri" w:hAnsi="Calibri"/>
          <w:b w:val="0"/>
          <w:color w:val="3A4A28"/>
          <w:sz w:val="20"/>
        </w:rPr>
        <w:t>Near-floor leverage at 297.49% D/E with $5.59B in debt — higher-for-longer interest rates directly compress FFO (guided down to $1.39-$1.43 per share in 2026 from $1.71 in 2024) and could force a further dividend cut if occupancy deteriorates [3]</w:t>
      </w:r>
    </w:p>
    <w:p>
      <w:pPr>
        <w:spacing w:before="40" w:after="40"/>
        <w:ind w:left="283"/>
      </w:pPr>
      <w:r>
        <w:rPr>
          <w:rFonts w:ascii="Calibri" w:hAnsi="Calibri"/>
          <w:b/>
          <w:color w:val="4A6B25"/>
          <w:sz w:val="20"/>
        </w:rPr>
        <w:t xml:space="preserve">3. </w:t>
      </w:r>
      <w:r>
        <w:rPr>
          <w:rFonts w:ascii="Calibri" w:hAnsi="Calibri"/>
          <w:b w:val="0"/>
          <w:color w:val="3A4A28"/>
          <w:sz w:val="20"/>
        </w:rPr>
        <w:t>Geographic concentration risk — 100% of assets in Los Angeles and Honolulu exposes the portfolio to California regulatory risk (rent control, seismic mandates), Hawaii tourism volatility, and single-market economic downturns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Douglas Emmett's core assets — physical Class A office buildings and multifamily apartment units — cannot be replicated or displaced by AI technology. The company owns irreplaceable real estate in high-barrier coastal submarkets of LA and Honolulu where zoning and geography structurally limit new supply [1]. However, AI poses a significant indirect threat to office demand: as AI automates knowledge work and enables more distributed/remote workflows, demand for traditional office space could structurally decline. Office REITs have sharply underperformed as AI disruption fears and higher interest rates have driven sector multiples to deep discounts [2]. CEO Kaplan noted positive absorption of 60,000 sq ft and 3.2% straight-line rent increases in Q2 2026 as signs of stabilization [3]. The multifamily segment (~20% of revenue, 98% occupied) is insulated from AI disruption as housing demand is driven by demographics, not technology cycles. AI Opportunity (0/1): Douglas Emmett generates no revenue from AI products or services and has not deployed AI technology for measurable operational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12</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Douglas Emmett Q4 2025 Earnings Release — Full-Year Revenue $1.004B (+3.8%), Operating Income $45.5M Positive Swing, Eliminated Long-Term Debt Maturities, February 2026</w:t>
      </w:r>
    </w:p>
    <w:p>
      <w:pPr>
        <w:spacing w:before="20" w:after="20"/>
        <w:ind w:left="170"/>
      </w:pPr>
      <w:r>
        <w:rPr>
          <w:rFonts w:ascii="Calibri" w:hAnsi="Calibri"/>
          <w:b/>
          <w:color w:val="4A6B25"/>
          <w:sz w:val="15"/>
        </w:rPr>
        <w:t xml:space="preserve">2. </w:t>
      </w:r>
      <w:r>
        <w:rPr>
          <w:rFonts w:ascii="Calibri" w:hAnsi="Calibri"/>
          <w:b w:val="0"/>
          <w:color w:val="3A4A28"/>
          <w:sz w:val="17"/>
        </w:rPr>
        <w:t>Douglas Emmett CEO &amp; Leadership Analysis — Jordan Kaplan 21-Year Tenure, Founder-Led Management, AI Disruption Concerns in Office REIT Sector, Simply Wall St, Comparably, 2026</w:t>
      </w:r>
    </w:p>
    <w:p>
      <w:pPr>
        <w:spacing w:before="20" w:after="20"/>
        <w:ind w:left="170"/>
      </w:pPr>
      <w:r>
        <w:rPr>
          <w:rFonts w:ascii="Calibri" w:hAnsi="Calibri"/>
          <w:b/>
          <w:color w:val="4A6B25"/>
          <w:sz w:val="15"/>
        </w:rPr>
        <w:t xml:space="preserve">3. </w:t>
      </w:r>
      <w:r>
        <w:rPr>
          <w:rFonts w:ascii="Calibri" w:hAnsi="Calibri"/>
          <w:b w:val="0"/>
          <w:color w:val="3A4A28"/>
          <w:sz w:val="17"/>
        </w:rPr>
        <w:t>Douglas Emmett Q2 2026 Earnings Release — Revenue $283.4M, Core Revenue +8.6% YoY, Net Loss $2.7M, 960K sq ft Leased, Positive Absorption 60K sq ft, FFO Guidance $1.39-$1.43, August 2026</w:t>
      </w:r>
    </w:p>
    <w:p>
      <w:pPr>
        <w:spacing w:before="20" w:after="20"/>
        <w:ind w:left="170"/>
      </w:pPr>
      <w:r>
        <w:rPr>
          <w:rFonts w:ascii="Calibri" w:hAnsi="Calibri"/>
          <w:b/>
          <w:color w:val="4A6B25"/>
          <w:sz w:val="15"/>
        </w:rPr>
        <w:t xml:space="preserve">4. </w:t>
      </w:r>
      <w:r>
        <w:rPr>
          <w:rFonts w:ascii="Calibri" w:hAnsi="Calibri"/>
          <w:b w:val="0"/>
          <w:color w:val="3A4A28"/>
          <w:sz w:val="17"/>
        </w:rPr>
        <w:t>Douglas Emmett ESG and Sustainability — 13% GHG Reduction vs 2019, 84% Energy Star Certification, Chairman Dan Emmett Environmental Leadership, ResponsibilityReports, 2024</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WallStreetZen — DEI Key Statistics: D/E 297.49%, ROE -1.41%, Profit Margin -6.84%, Dividend Yield 6.51%, Stock Price $13.36,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