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DEO</w:t>
      </w:r>
      <w:r>
        <w:rPr>
          <w:rFonts w:ascii="Calibri" w:hAnsi="Calibri"/>
          <w:b/>
          <w:color w:val="1A2010"/>
          <w:sz w:val="40"/>
        </w:rPr>
        <w:t xml:space="preserve">  Diageo plc</w:t>
      </w:r>
    </w:p>
    <w:p>
      <w:pPr>
        <w:spacing w:after="120"/>
      </w:pPr>
      <w:r>
        <w:rPr>
          <w:rFonts w:ascii="Calibri" w:hAnsi="Calibri"/>
          <w:b/>
          <w:color w:val="6E8450"/>
          <w:sz w:val="18"/>
        </w:rPr>
        <w:t>DIVIDEND SLEEVE · 2026-09-11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Wineries &amp; Distilleries · NYSE · United Kingdom</w:t>
      </w:r>
    </w:p>
    <w:p>
      <w:pPr>
        <w:spacing w:after="80"/>
      </w:pPr>
      <w:r>
        <w:rPr>
          <w:rFonts w:ascii="Calibri" w:hAnsi="Calibri"/>
          <w:b w:val="0"/>
          <w:color w:val="3A4A28"/>
          <w:sz w:val="20"/>
        </w:rPr>
        <w:t>Diageo is the world's largest premium spirits company, owning brands including Johnnie Walker, Smirnoff, Guinness, Captain Morgan, Baileys, Tanqueray, Ketel One, and Don Julio. Fiscal 2026 (ended June 30, 2026) organic net sales declined 2.0% amid continued weakness in U.S. spirits and Chinese white spirits, with reported revenue of $19.64B (-2.97% YoY) [1][2]. The company is mid-turnaround: CEO Debra Crew departed in July 2025, CFO Nik Jhangiani served as interim CEO, and Sir Dave Lewis (former Tesco Group CEO) was appointed permanent CEO effective January 1, 2026, alongside a $1.2B two-year restructuring plan and $300M in Accelerate programme cost savings [1][3].</w:t>
      </w:r>
    </w:p>
    <w:p>
      <w:r>
        <w:rPr>
          <w:rFonts w:ascii="Calibri" w:hAnsi="Calibri"/>
          <w:b/>
          <w:color w:val="6E8450"/>
          <w:sz w:val="18"/>
        </w:rPr>
        <w:t>27,938 Employees · https://www.diageo.com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last five years have been dominated by a 2024 medium-term guidance withdrawal, continued organic net sales decline (-2.0% in FY2026), and reactive restructuring rather than a successful pivot or transformative launch; the $1.2B restructuring plan and new operating framework are cost-driven responses to underperformance, not innovation-led growth [1][5]. AI Deployment (1/2): Diageo's Breakthrough Innovation Team has piloted GenAI-powered consumer experiences, including a Codec AI collaboration to study real consumer behavior and a Tequila Don Julio Apple Vision Pro immersive app, but these remain marketing pilots without disclosed revenue or cost-saving figures [4]. Market Share (1/2): Diageo remains the world's largest spirits company by portfolio breadth, but FY2026 results explicitly cite share and volume weakness in U.S. Spirits and Chinese white spirits — a 'meaningful player, not gaining share' profile rather than a share-gaining leader [1]. Product Pipeline (0/2): No specific next-generation products with named launch dates or quantified revenue visibility were disclosed; innovation commentary remains at the level of general strategic aspiration ('beyond liquids in bottles') [4]. R&amp;D Intensity (0/1): No R&amp;D-as-percent-of-revenue data was found; spirits industry R&amp;D intensity is structurally low and no above-peer investment was evidenced.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Diageo's purpose, 'Celebrate life, every day, everywhere,' is a clear, long-standing, and consumer-relevant frame for an alcohol company, but it functions largely as a marketing tagline rather than a demonstrably strategy-shaping cause, and is not distinctive from peer beverage companies' celebration-themed messaging [6]. Community Impact (1/2): Diageo runs DRINKiQ responsible-drinking education globally and a 'Spirit of Progress' ESG plan with water-stewardship and skills-training commitments, representing genuine but fairly standard corporate-responsibility programming for the sector [6]. Employee Retention (0/2): FY2026 average headcount fell 6.4% (1,922 fewer employees, to 27,938) alongside $900M in restructuring charges and a two-year, $1.2B restructuring plan — a period of workforce contraction and disruption that scores as a negative on retention despite management citing prior-year engagement scores of 83% [5]. Insider Buying (1/2): June 2026 disclosures show only small, routine incentive-plan share acquisitions by the board chair and two Executive Committee members — minimal activity that is neither a meaningful buying nor selling signal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Dividend weighting (Consecutive Years Paid and 5yr Dividend Growth CAGR at 2x weight; dividend growth CAGR excluded as unavailable). Forward P/E of 12.99x is well below the 20x target, and Return on Equity of 14.99% sits almost exactly at the 15% target. Debt-to-Equity of 171% is elevated versus the 70% target (net debt of $20.42B against an Altman Z-Score of 2.21), and Profit Margin of 8.84% is well below the 20% target, reflecting margin pressure from the FY2026 turnaround. Revenue growth is negative both YoY (-2.97%, FY2026) and on a 5yr CAGR basis (+2.24%, both below the 10% target), consistent with the ongoing organic sales decline. The dividend franchise is the standout: 20+ consecutive years of dividend increases support strong Consecutive Years Paid/Growth scores (capped at maximum, 2x and 1x weighted respectively) even as the 61.81% payout ratio sits above the 40% target. Average daily volume of ~912K shares at $86.31 (~$78.7M/day) clears the liquidity floor with wide margin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Diageo is currently a company optimizing for near-term earnings repair rather than playing an infinite game: a CEO ouster, a $1.2B cost-cutting restructuring, a 6.4% workforce reduction, and continued organic sales decline all point to defensive, finite-game behavior. Its long-standing 'Celebrate life' purpose has survived leadership change but reads more as brand messaging than a strategy-defining Just Cause, and Sinek would flag the reactive restructuring as evidence of a company currently playing to survive the quarter rather than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'Celebrate life, every day, everywhere' has persisted across multiple CEOs and is broad enough to be resilient, but it functions as consumer-facing brand positioning rather than a demonstrated driver of major strategic decisions, and the current turnaround narrative (cost cuts, restructuring) is framed entirely in financial-performance terms rather than in service of the stated purpose [1][6].</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FY2026 saw a CEO departure, an interim CEO period, a new permanent external CEO, a 6.4% workforce reduction (1,922 FTEs), and $900M in restructuring charges — a concentrated period of leadership and organizational instability that outweighs the previously-cited 83% engagement figure from before the restructuring began [1][3][5].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Diageo articulating its competitive position relative to Pernod Ricard, Bacardi, or Brown-Forman in terms of learning from rivals' strengths; available commentary focuses on internal cost discipline and category share loss rather than a stated competitive philosophy.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Diageo has expanded into the low/no-alcohol category (e.g., Guinness 0.0) and RTD formats in response to shifting consumer preferences, representing genuine but incremental adaptation rather than a transformative reinvention of the core alcoholic-beverage business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dominant strategic actions of FY2025-2026 — CEO removal, a $1.2B restructuring plan, and headcount reduction — are defensive responses to underperformance aimed at protecting near-term profit and dividend cover, not evidence of leadership sacrificing near-term earnings for long-term capability investment [1][3][5].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Diageo trades at a depressed 12.99x forward earnings with a 2.23% dividend yield and a 61.81% payout ratio, backed by a 20+ year record of consecutive dividend increases and a portfolio of category-leading brands (Johnnie Walker, Guinness, Don Julio) that retain real pricing power and brand equity [1][2]. New CEO Sir Dave Lewis, who previously led a successful Tesco turnaround, has been installed alongside a $1.2B restructuring plan targeting $300M in Accelerate programme cost savings, and management guided FY2027 to broadly flat organic net sales with low-to-mid-single-digit organic operating profit growth and ~$2B of free cash flow — a plausible stabilization path if execution holds [1]. Diageo's alcohol-production business is structurally immune to AI disruption, and the balance sheet, while levered, generates $4.39B of operating cash flow to support the dividend through the turnaround [2].</w:t>
      </w:r>
    </w:p>
    <w:p>
      <w:pPr>
        <w:spacing w:after="120"/>
      </w:pPr>
      <w:r>
        <w:rPr>
          <w:rFonts w:ascii="Calibri" w:hAnsi="Calibri"/>
          <w:b w:val="0"/>
          <w:color w:val="3A4A28"/>
          <w:sz w:val="20"/>
        </w:rPr>
        <w:t>The bear case is that this is a company currently playing a finite, defensive game: organic net sales have now declined for multiple consecutive periods (FY2026 -2.0% organic, -2.97% reported), the prior CEO departed amid the underperformance, and a 6.4% workforce reduction alongside $900M of restructuring charges signals real operational strain rather than confident long-term investment [1][5]. Debt-to-Equity of 171% and net debt of $20.42B against an Altman Z-Score of 2.21 leave less balance-sheet flexibility than the target profile, and continued weakness in U.S. Spirits and Chinese white spirits — two of the largest historical growth engines — raises real execution risk for the new CEO's turnaround [1][2]. The 61.81% payout ratio, above the 40% target, leaves less cushion to sustain the 20-year dividend-growth streak if earnings deterioration continues. The Inspire Impact Score of -53 (MISALIGNED, driven by Alcohol and LGBT Activism attributions) is a structural, non-financial exclusion factor for faith-based allocators regardless of turnaround success.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Sir Dave Lewis executing the $1.2B restructuring plan and $300M Accelerate cost-savings programme, targeting FY2027 guidance of broadly flat organic net sales and ~$2B free cash flow [1]</w:t>
      </w:r>
    </w:p>
    <w:p>
      <w:pPr>
        <w:spacing w:before="40" w:after="40"/>
        <w:ind w:left="283"/>
      </w:pPr>
      <w:r>
        <w:rPr>
          <w:rFonts w:ascii="Calibri" w:hAnsi="Calibri"/>
          <w:b/>
          <w:color w:val="4A6B25"/>
          <w:sz w:val="20"/>
        </w:rPr>
        <w:t xml:space="preserve">2. </w:t>
      </w:r>
      <w:r>
        <w:rPr>
          <w:rFonts w:ascii="Calibri" w:hAnsi="Calibri"/>
          <w:b w:val="0"/>
          <w:color w:val="3A4A28"/>
          <w:sz w:val="20"/>
        </w:rPr>
        <w:t>Stabilization in U.S. Spirits destocking and Chinese white-spirits demand, the two categories cited as the primary drags on FY2026 organic net sales [1]</w:t>
      </w:r>
    </w:p>
    <w:p>
      <w:pPr>
        <w:spacing w:before="40" w:after="40"/>
        <w:ind w:left="283"/>
      </w:pPr>
      <w:r>
        <w:rPr>
          <w:rFonts w:ascii="Calibri" w:hAnsi="Calibri"/>
          <w:b/>
          <w:color w:val="4A6B25"/>
          <w:sz w:val="20"/>
        </w:rPr>
        <w:t xml:space="preserve">3. </w:t>
      </w:r>
      <w:r>
        <w:rPr>
          <w:rFonts w:ascii="Calibri" w:hAnsi="Calibri"/>
          <w:b w:val="0"/>
          <w:color w:val="3A4A28"/>
          <w:sz w:val="20"/>
        </w:rPr>
        <w:t>Continued expansion of the low/no-alcohol portfolio (Guinness 0.0) and RTD formats capturing changing consumer preferences without cannibalizing core brand equity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(171% Debt-to-Equity, $20.42B net debt, Altman Z-Score of 2.21) reduces flexibility to fund both the restructuring and the 20-year dividend-growth streak if organic sales keep declining [2]</w:t>
      </w:r>
    </w:p>
    <w:p>
      <w:pPr>
        <w:spacing w:before="40" w:after="40"/>
        <w:ind w:left="283"/>
      </w:pPr>
      <w:r>
        <w:rPr>
          <w:rFonts w:ascii="Calibri" w:hAnsi="Calibri"/>
          <w:b/>
          <w:color w:val="4A6B25"/>
          <w:sz w:val="20"/>
        </w:rPr>
        <w:t xml:space="preserve">2. </w:t>
      </w:r>
      <w:r>
        <w:rPr>
          <w:rFonts w:ascii="Calibri" w:hAnsi="Calibri"/>
          <w:b w:val="0"/>
          <w:color w:val="3A4A28"/>
          <w:sz w:val="20"/>
        </w:rPr>
        <w:t>Leadership transition risk: a new external CEO (Dave Lewis) must execute a turnaround in a company that has just been through a disruptive CEO exit and workforce reduction, with no guarantee the new operating framework restores growth [1][3]</w:t>
      </w:r>
    </w:p>
    <w:p>
      <w:pPr>
        <w:spacing w:before="40" w:after="40"/>
        <w:ind w:left="283"/>
      </w:pPr>
      <w:r>
        <w:rPr>
          <w:rFonts w:ascii="Calibri" w:hAnsi="Calibri"/>
          <w:b/>
          <w:color w:val="4A6B25"/>
          <w:sz w:val="20"/>
        </w:rPr>
        <w:t xml:space="preserve">3. </w:t>
      </w:r>
      <w:r>
        <w:rPr>
          <w:rFonts w:ascii="Calibri" w:hAnsi="Calibri"/>
          <w:b w:val="0"/>
          <w:color w:val="3A4A28"/>
          <w:sz w:val="20"/>
        </w:rPr>
        <w:t>Continued category share loss in U.S. Spirits and Chinese white spirits, the segments explicitly cited as FY2026 organic net sales drags, could persist if underlying consumer trends (moderation, down-trading) prove structural rather than cyclical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Diageo's core business — producing, aging, distributing, and brand-marketing regulated alcoholic beverages — is a physical, licensed, brand-equity-driven model that AI structurally cannot displace; no analyst commentary identifies AI substitution risk to spirits revenue, and the company's own principal-risk disclosures focus on regulation, trade barriers, and consumer disruption rather than AI [2]. AI Opportunity (0/1): Diageo is deploying GenAI for consumer-insight work (with Codec AI) and immersive brand experiences (Tequila Don Julio on Apple Vision Pro), but these are marketing-enablement pilots with no disclosed, quantifiable AI-attributable revenue, so no tiebreaker point is awarded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-53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Diageo Fiscal 2026 Full Year / Q3 Trading Statement — Organic Net Sales -2.0%, FY2027 Guidance, Accelerate Cost Savings — Diageo Newsroom, Investing.com,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 DEO Key Statistics and Revenue History (FY2021-FY2026),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Diageo CEO Transition — Debra Crew Departure (July 2025), Interim CEO Nik Jhangiani, Sir Dave Lewis Appointed CEO Effective January 1, 2026 — Diageo Newsroom, Meininger's, Manufacturing Digital, Food Dive</w:t>
      </w:r>
    </w:p>
    <w:p>
      <w:pPr>
        <w:spacing w:before="20" w:after="20"/>
        <w:ind w:left="170"/>
      </w:pPr>
      <w:r>
        <w:rPr>
          <w:rFonts w:ascii="Calibri" w:hAnsi="Calibri"/>
          <w:b/>
          <w:color w:val="4A6B25"/>
          <w:sz w:val="15"/>
        </w:rPr>
        <w:t xml:space="preserve">4. </w:t>
      </w:r>
      <w:r>
        <w:rPr>
          <w:rFonts w:ascii="Calibri" w:hAnsi="Calibri"/>
          <w:b w:val="0"/>
          <w:color w:val="3A4A28"/>
          <w:sz w:val="17"/>
        </w:rPr>
        <w:t>Diageo AI and Innovation — Codec AI Consumer Insights, GenAI Tequila Don Julio Apple Vision Pro Experience, Breakthrough Innovation Team — Marketing Week, Bartender Spirits Awards</w:t>
      </w:r>
    </w:p>
    <w:p>
      <w:pPr>
        <w:spacing w:before="20" w:after="20"/>
        <w:ind w:left="170"/>
      </w:pPr>
      <w:r>
        <w:rPr>
          <w:rFonts w:ascii="Calibri" w:hAnsi="Calibri"/>
          <w:b/>
          <w:color w:val="4A6B25"/>
          <w:sz w:val="15"/>
        </w:rPr>
        <w:t xml:space="preserve">5. </w:t>
      </w:r>
      <w:r>
        <w:rPr>
          <w:rFonts w:ascii="Calibri" w:hAnsi="Calibri"/>
          <w:b w:val="0"/>
          <w:color w:val="3A4A28"/>
          <w:sz w:val="17"/>
        </w:rPr>
        <w:t>Diageo Workforce Restructuring — 1,922 FTE Reduction, $1.2B Two-Year Restructuring Plan, $900M FY2026 Restructuring Charges — Yahoo Finance, TheStreet, Grindhotline</w:t>
      </w:r>
    </w:p>
    <w:p>
      <w:pPr>
        <w:spacing w:before="20" w:after="20"/>
        <w:ind w:left="170"/>
      </w:pPr>
      <w:r>
        <w:rPr>
          <w:rFonts w:ascii="Calibri" w:hAnsi="Calibri"/>
          <w:b/>
          <w:color w:val="4A6B25"/>
          <w:sz w:val="15"/>
        </w:rPr>
        <w:t xml:space="preserve">6. </w:t>
      </w:r>
      <w:r>
        <w:rPr>
          <w:rFonts w:ascii="Calibri" w:hAnsi="Calibri"/>
          <w:b w:val="0"/>
          <w:color w:val="3A4A28"/>
          <w:sz w:val="17"/>
        </w:rPr>
        <w:t>Diageo Purpose and ESG Strategy ('Celebrate life, every day, everywhere'; Spirit of Progress) — Diageo.com</w:t>
      </w:r>
    </w:p>
    <w:p>
      <w:pPr>
        <w:spacing w:before="20" w:after="20"/>
        <w:ind w:left="170"/>
      </w:pPr>
      <w:r>
        <w:rPr>
          <w:rFonts w:ascii="Calibri" w:hAnsi="Calibri"/>
          <w:b/>
          <w:color w:val="4A6B25"/>
          <w:sz w:val="15"/>
        </w:rPr>
        <w:t xml:space="preserve">7. </w:t>
      </w:r>
      <w:r>
        <w:rPr>
          <w:rFonts w:ascii="Calibri" w:hAnsi="Calibri"/>
          <w:b w:val="0"/>
          <w:color w:val="3A4A28"/>
          <w:sz w:val="17"/>
        </w:rPr>
        <w:t>TipRanks — Diageo Insider Share Deals, June 2026</w:t>
      </w:r>
    </w:p>
    <w:p>
      <w:pPr>
        <w:spacing w:before="20" w:after="20"/>
        <w:ind w:left="170"/>
      </w:pPr>
      <w:r>
        <w:rPr>
          <w:rFonts w:ascii="Calibri" w:hAnsi="Calibri"/>
          <w:b/>
          <w:color w:val="4A6B25"/>
          <w:sz w:val="15"/>
        </w:rPr>
        <w:t xml:space="preserve">8. </w:t>
      </w:r>
      <w:r>
        <w:rPr>
          <w:rFonts w:ascii="Calibri" w:hAnsi="Calibri"/>
          <w:b w:val="0"/>
          <w:color w:val="3A4A28"/>
          <w:sz w:val="17"/>
        </w:rPr>
        <w:t>Glassdoor — Diageo Company Reviews,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