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DINO</w:t>
      </w:r>
      <w:r>
        <w:rPr>
          <w:rFonts w:ascii="Calibri" w:hAnsi="Calibri"/>
          <w:b/>
          <w:color w:val="1A2010"/>
          <w:sz w:val="40"/>
        </w:rPr>
        <w:t xml:space="preserve">  HF Sinclair Corporation</w:t>
      </w:r>
    </w:p>
    <w:p>
      <w:pPr>
        <w:spacing w:after="120"/>
      </w:pPr>
      <w:r>
        <w:rPr>
          <w:rFonts w:ascii="Calibri" w:hAnsi="Calibri"/>
          <w:b/>
          <w:color w:val="6E8450"/>
          <w:sz w:val="18"/>
        </w:rPr>
        <w:t>DIVIDEND SLEEVE · 2026-09-04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NYSE · United States</w:t>
      </w:r>
    </w:p>
    <w:p>
      <w:pPr>
        <w:spacing w:after="80"/>
      </w:pPr>
      <w:r>
        <w:rPr>
          <w:rFonts w:ascii="Calibri" w:hAnsi="Calibri"/>
          <w:b w:val="0"/>
          <w:color w:val="3A4A28"/>
          <w:sz w:val="20"/>
        </w:rPr>
        <w:t>HF Sinclair Corporation is an independent energy company that produces and markets high-value light products including gasoline, diesel, jet fuel, renewable diesel, and specialty lubricants. The company operates through four segments: Refining, Renewables (370M+ gallons/year renewable diesel capacity delivering 87.5% margins and 21% of consolidated EBIT), Marketing, and Lubricants &amp; Specialties. Formed from the 2022 merger of HollyFrontier Corporation and Sinclair Oil, DINO operates refineries across the western and mid-continent United States. Q2 2026 delivered EPS of $5.31 (vs $1.70 prior year) on revenue of $10.39B, with refining adjusted EBITDA of $1.02B as gross margins surged to $25.95/bbl from $16.50.</w:t>
      </w:r>
    </w:p>
    <w:p>
      <w:r>
        <w:rPr>
          <w:rFonts w:ascii="Calibri" w:hAnsi="Calibri"/>
          <w:b/>
          <w:color w:val="6E8450"/>
          <w:sz w:val="18"/>
        </w:rPr>
        <w:t>5,000 Employees · https://www.hfsinclair.com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HF Sinclair built a meaningful renewables business with three renewable diesel units totaling 370M+ gallons/year capacity, now delivering 87.5% margins and contributing 21% of consolidated EBIT — a genuine new business line that pivoted from cash drag to significant profit contributor [1][2]. The 2022 Sinclair Oil merger was a transformative deal that doubled the refining footprint. AI Deployment (0/2): No AI products shipping or measurable AI-driven cost savings reported. Leadership has discussed integrating AI into procurement and master data management, and the new President of Growth, Technology and Transformation (Valerie Pompa) signals intent, but no quantified results yet [4]. Market Share (1/2): One of the largest independent refiners in the U.S. with strong Rocky Mountain and West Coast positioning, but Marathon, Valero, and Phillips 66 are larger [1]. Product Pipeline (1/2): Puget Sound refinery flexibility upgrade and continued renewables optimization provide some pipeline visibility, but no specific next-generation products with revenue forecasts announced [2]. R&amp;D Intensity (0/1): Below industry average for the energy sector, which is a low-R&amp;D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HF Sinclair does not articulate a distinctive mission or purpose beyond value creation and profitable operations. Public messaging focuses on operational execution and shareholder returns rather than a vision of a better future [4]. Community Impact (0/2): The company published sustainability reports with Board-level ESG oversight and achieved a 25.7% reduction in GHG emissions intensity since 2020 (ahead of the 25% target for 2030), but these are standard corporate ESG compliance measures rather than distinctive community investment [5]. OSHA incident rate declined 60% over five years, demonstrating operational safety commitment. Employee Retention (1/2): Glassdoor rating of 3.7/5 with 82% of employees recommending the company is adequate for the energy industry. Culture rated 3.4/5, work-life balance 3.1/5 — average rather than exceptional [4]. Insider Buying (1/2): CEO Franklin Myers purchased 15,000 shares at ~$69.11/share shortly after his February 2026 appointment, demonstrating personal conviction in the turnaround [4]. Net insider activity is mixed with some executive selling partially offsetting.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HF Sinclair's financial profile strengthened significantly with Q2 2026 results: refining adjusted EBITDA hit $1.02B as adjusted refinery gross margin surged to $25.95/bbl from $16.50, driving EPS of $5.31 (vs $1.70 prior year, +212%) [1][2]. D/E of 27.78% provides excellent balance sheet flexibility well below the 70% target [3]. ROE of 19.41% exceeds the 15% target, reversing the prior year's 13.04% shortfall. Forward P/E of 7.58 reflects deep value pricing for the refining sector. Revenue growth has turned sharply positive (~30% YoY) after three years of decline from the 2022 peak, and FY2026 EPS consensus of $11.85 represents a doubling from FY2025. The primary drag remains profit margin of 6.15% — typical of capital-intensive refining but well below the 20% target [3]. Dividend metrics are solid: payout ratio of 17.7%, 10 consecutive years paid (2x weight), and 5yr dividend growth CAGR of 8.3% (2x weight). Liquidity floor passes easily: ~2.4M daily volume x $95 = $228M.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HF Sinclair is a competent operator with a predominantly finite mindset. The company focuses on operational execution, shareholder returns, and margin capture — legitimate business goals but fundamentally finite in Sinek's framework. The renewable diesel expansion (now 21% of consolidated EBIT) shows genuine forward thinking, but the CEO transition (Tim Go's abrupt departure, Franklin Myers' appointment) and leadership restructuring suggest organizational instability rather than the consistency of purpose Sinek values. The company lacks an articulated reason for existing beyond profitable refining.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HF Sinclair articulates no vision of a better future. Public communications focus on 'value creation,' 'profitable growth,' and 'shareholder returns' — language describing business goals, not a Just Cause [4]. The renewable diesel segment could have been positioned as a cause ('enabling the energy transition') but the company treats it as a profitable business segment (87.5% margins) rather than a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3.7/5 with 82% recommending the company suggests adequate organizational trust [4]. OSHA total recordable incident rate declined 60% over five years, indicating a genuine commitment to worker safety — a trust-building measure in industrial environments [5]. However, the CEO's abrupt departure and rapid leadership restructuring (new COO, new President of Growth) indicate organizational turbulence beneath the surface.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HF Sinclair's competitive language focuses on operational metrics (refinery utilization, crude differentials, margin capture per barrel) rather than learning from rivals like Valero or Marathon [1][2]. The company positions itself as a 'pure play' independent refiner, framing competition as market positioning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renewable diesel expansion represents meaningful strategic flexibility — HF Sinclair adapted its refining capabilities to address the energy transition, and renewables now deliver 87.5% margins and 21% of consolidated EBIT [1][2]. The Sinclair Oil merger was a transformative deal. However, the core business model (petroleum refining) remains fundamentally unchanged, and the renewable diesel investment was driven by RFS credits and regulatory incentives as much as strategic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HF Sinclair invested significant capital in building 370M+ gallons/year of renewable diesel capacity — a meaningful long-term bet on the energy transition that required capital commitment during uncertain regulatory periods [2]. The renewables segment's transformation from cash drag to 21% of consolidated EBIT validates this investment. However, CEO Tim Go's abrupt voluntary departure in February 2026 and subsequent leadership restructuring suggest internal issues that undermine the impression of principled, consistent leadership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HF Sinclair delivered a blowout Q2 2026 — EPS of $5.31 crushed the $4.39 consensus (+21%), revenue of $10.39B beat estimates by 38.55%, and refining adjusted EBITDA hit $1.02B as gross margins surged 57% to $25.95/bbl [1][2]. The renewables segment pivoted from cash drag to profit engine, now delivering 87.5% margins and contributing 21% of consolidated EBIT. At 7.58x forward earnings with a 2.21% dividend yield and 17.7% payout ratio, DINO offers deep value with significant margin of safety. FY2026 EPS consensus of $11.85 has been revised up 19.8% over four weeks, reflecting accelerating earnings momentum. The West Coast refining market is tightening as competing refineries face closures and capacity constraints, which should sustain above-mid-cycle margins through 2026-2027 [1]. D/E of 27.78% and ROE of 19.41% demonstrate balance sheet strength and capital efficiency.</w:t>
      </w:r>
    </w:p>
    <w:p>
      <w:pPr>
        <w:spacing w:after="120"/>
      </w:pPr>
      <w:r>
        <w:rPr>
          <w:rFonts w:ascii="Calibri" w:hAnsi="Calibri"/>
          <w:b w:val="0"/>
          <w:color w:val="3A4A28"/>
          <w:sz w:val="20"/>
        </w:rPr>
        <w:t>The bear case centers on cyclicality, leadership instability, and long-term demand risk. Refining margins are inherently volatile — the 57% gross margin improvement from $16.50 to $25.95/bbl could revert as global refining capacity additions in the Middle East and Asia come online, and the 2022 revenue peak of $38.2B was followed by three consecutive years of decline before the current recovery [1][2]. CEO Tim Go's abrupt voluntary departure in February 2026, followed by executive restructuring, raises unresolved governance questions about internal dynamics that have not been publicly disclosed [4]. Profit margin of 6.15% is thin even by refining standards and leaves little cushion if crack spreads compress. Long-term secular decline in refined product demand from EV adoption and emissions regulation poses existential risk for pure-play refiners over a 10-15 year horizon — though renewable diesel and tightening West Coast dynamics provide some offset. The 5yr revenue CAGR of ~18% is heavily inflated by the 2022 Sinclair Oil merger, masking organic revenue volatility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7.58x with 19.8% upward EPS revision momentum represents deep value with significant re-rating potential if refining margins sustain above mid-cycle levels through 2026-2027 [1][2]</w:t>
      </w:r>
    </w:p>
    <w:p>
      <w:pPr>
        <w:spacing w:before="40" w:after="40"/>
        <w:ind w:left="283"/>
      </w:pPr>
      <w:r>
        <w:rPr>
          <w:rFonts w:ascii="Calibri" w:hAnsi="Calibri"/>
          <w:b/>
          <w:color w:val="4A6B25"/>
          <w:sz w:val="20"/>
        </w:rPr>
        <w:t xml:space="preserve">2. </w:t>
      </w:r>
      <w:r>
        <w:rPr>
          <w:rFonts w:ascii="Calibri" w:hAnsi="Calibri"/>
          <w:b w:val="0"/>
          <w:color w:val="3A4A28"/>
          <w:sz w:val="20"/>
        </w:rPr>
        <w:t>Renewables segment transformation from cash drag to 21% of EBIT at 87.5% margins provides diversification away from volatile crack spreads and positions DINO for RFS credit and energy transition tailwinds [2]</w:t>
      </w:r>
    </w:p>
    <w:p>
      <w:pPr>
        <w:spacing w:before="40" w:after="40"/>
        <w:ind w:left="283"/>
      </w:pPr>
      <w:r>
        <w:rPr>
          <w:rFonts w:ascii="Calibri" w:hAnsi="Calibri"/>
          <w:b/>
          <w:color w:val="4A6B25"/>
          <w:sz w:val="20"/>
        </w:rPr>
        <w:t xml:space="preserve">3. </w:t>
      </w:r>
      <w:r>
        <w:rPr>
          <w:rFonts w:ascii="Calibri" w:hAnsi="Calibri"/>
          <w:b w:val="0"/>
          <w:color w:val="3A4A28"/>
          <w:sz w:val="20"/>
        </w:rPr>
        <w:t>Tightening West Coast refining market as competing refineries face closures and regulatory-driven capacity constraints should sustain premium crack spreads in DINO's key operating region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Refining margins are inherently volatile — the 57% gross margin improvement to $25.95/bbl may revert as global capacity additions in the Middle East and Asia normalize crack spreads [1]</w:t>
      </w:r>
    </w:p>
    <w:p>
      <w:pPr>
        <w:spacing w:before="40" w:after="40"/>
        <w:ind w:left="283"/>
      </w:pPr>
      <w:r>
        <w:rPr>
          <w:rFonts w:ascii="Calibri" w:hAnsi="Calibri"/>
          <w:b/>
          <w:color w:val="4A6B25"/>
          <w:sz w:val="20"/>
        </w:rPr>
        <w:t xml:space="preserve">2. </w:t>
      </w:r>
      <w:r>
        <w:rPr>
          <w:rFonts w:ascii="Calibri" w:hAnsi="Calibri"/>
          <w:b w:val="0"/>
          <w:color w:val="3A4A28"/>
          <w:sz w:val="20"/>
        </w:rPr>
        <w:t>CEO Tim Go's abrupt voluntary departure and subsequent leadership restructuring signal potential governance or operational issues that remain undisclosed — new CEO Franklin Myers' appointment was initially characterized as temporary [4]</w:t>
      </w:r>
    </w:p>
    <w:p>
      <w:pPr>
        <w:spacing w:before="40" w:after="40"/>
        <w:ind w:left="283"/>
      </w:pPr>
      <w:r>
        <w:rPr>
          <w:rFonts w:ascii="Calibri" w:hAnsi="Calibri"/>
          <w:b/>
          <w:color w:val="4A6B25"/>
          <w:sz w:val="20"/>
        </w:rPr>
        <w:t xml:space="preserve">3. </w:t>
      </w:r>
      <w:r>
        <w:rPr>
          <w:rFonts w:ascii="Calibri" w:hAnsi="Calibri"/>
          <w:b w:val="0"/>
          <w:color w:val="3A4A28"/>
          <w:sz w:val="20"/>
        </w:rPr>
        <w:t>Long-term secular decline in refined product demand from EV adoption, tightening emissions regulations, and California-specific refinery closure pressures pose existential risk for West Coast refining operations over a 10-15 year horizon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refining is a physical-world, capital-intensive industrial operation that AI structurally cannot replace [1][2]. Refineries require massive physical infrastructure, complex chemical processing, logistics networks, and regulatory compliance that exist entirely in the physical domain. AI may improve refinery optimization and predictive maintenance (incremental efficiency gains), but the core business of converting crude oil into fuels and lubricants is immune to AI substitution. The renewable diesel segment adds an energy transition dimension that remains physical infrastructure-dependent. AI data center buildout indirectly supports refined fuel demand through construction activity and power generation. The only subtle risk is that AI-powered efficiency improvements in downstream consumption (autonomous vehicles, optimized logistics) could modestly reduce demand over time. AI Opportunity (0/1): No AI-related revenue. HF Sinclair does not develop or deploy AI products, though the new President of Growth, Technology and Transformation (Valerie Pompa) is exploring operational AI applications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HF Sinclair Q2 2026 Earnings Release — EPS $5.31 (vs $1.70 prior year), Revenue $10.39B (+38.55% vs consensus), Refining EBITDA $1.02B, Gross Margin $25.95/bbl, Yahoo Finance / Zacks, July 2026</w:t>
      </w:r>
    </w:p>
    <w:p>
      <w:pPr>
        <w:spacing w:before="20" w:after="20"/>
        <w:ind w:left="170"/>
      </w:pPr>
      <w:r>
        <w:rPr>
          <w:rFonts w:ascii="Calibri" w:hAnsi="Calibri"/>
          <w:b/>
          <w:color w:val="4A6B25"/>
          <w:sz w:val="15"/>
        </w:rPr>
        <w:t xml:space="preserve">2. </w:t>
      </w:r>
      <w:r>
        <w:rPr>
          <w:rFonts w:ascii="Calibri" w:hAnsi="Calibri"/>
          <w:b w:val="0"/>
          <w:color w:val="3A4A28"/>
          <w:sz w:val="17"/>
        </w:rPr>
        <w:t>HF Sinclair Renewables and Refining Performance — Renewables 87.5% Margins, 21% of EBIT, 370M+ gal/yr Capacity, FY2026 EPS Consensus $11.85, Seeking Alpha, August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GuruFocus — DINO Key Statistics: Forward P/E 7.58x, D/E 27.78%, ROE 19.41%, Profit Margin 6.15%,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HF Sinclair Leadership Updates — CEO Franklin Myers (Feb 2026), COO Steven Ledbetter, President Valerie Pompa (Growth, Technology &amp; Transformation), Investing.com / Simply Wall St, 2026</w:t>
      </w:r>
    </w:p>
    <w:p>
      <w:pPr>
        <w:spacing w:before="20" w:after="20"/>
        <w:ind w:left="170"/>
      </w:pPr>
      <w:r>
        <w:rPr>
          <w:rFonts w:ascii="Calibri" w:hAnsi="Calibri"/>
          <w:b/>
          <w:color w:val="4A6B25"/>
          <w:sz w:val="15"/>
        </w:rPr>
        <w:t xml:space="preserve">5. </w:t>
      </w:r>
      <w:r>
        <w:rPr>
          <w:rFonts w:ascii="Calibri" w:hAnsi="Calibri"/>
          <w:b w:val="0"/>
          <w:color w:val="3A4A28"/>
          <w:sz w:val="17"/>
        </w:rPr>
        <w:t>HF Sinclair Sustainability Report — GHG Emissions Intensity Down 25.7% Since 2020, OSHA Incident Rate Down 60% Over 5 Years, 250M+ Gal Renewable Diesel Produced 2024, HFSinclair.com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