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DLO</w:t>
      </w:r>
      <w:r>
        <w:rPr>
          <w:rFonts w:ascii="Calibri" w:hAnsi="Calibri"/>
          <w:b/>
          <w:color w:val="1A2010"/>
          <w:sz w:val="40"/>
        </w:rPr>
        <w:t xml:space="preserve">  DLocal Limited</w:t>
      </w:r>
    </w:p>
    <w:p>
      <w:pPr>
        <w:spacing w:after="120"/>
      </w:pPr>
      <w:r>
        <w:rPr>
          <w:rFonts w:ascii="Calibri" w:hAnsi="Calibri"/>
          <w:b/>
          <w:color w:val="6E8450"/>
          <w:sz w:val="18"/>
        </w:rPr>
        <w:t>GROWTH SLEEVE · 2026-09-25 · Inspire: 33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Software - Infrastructure · NASDAQ · Uruguay</w:t>
      </w:r>
    </w:p>
    <w:p>
      <w:pPr>
        <w:spacing w:after="80"/>
      </w:pPr>
      <w:r>
        <w:rPr>
          <w:rFonts w:ascii="Calibri" w:hAnsi="Calibri"/>
          <w:b w:val="0"/>
          <w:color w:val="3A4A28"/>
          <w:sz w:val="20"/>
        </w:rPr>
        <w:t>DLocal is an emerging markets payments technology platform that enables global enterprise merchants to accept and disburse payments in 44+ countries across Africa, Asia, and Latin America. The company processes local payment methods including cards, bank transfers, cash, mobile money, and alternative payment methods, serving commerce, streaming, ride-hailing, financial services, gaming, crypto, and travel industries. Founded in 2016, headquartered in Montevideo, Uruguay. Q2 2026 delivered record $400M revenue (+56% YoY) and TPV of $18B (+92% YoY), marking the 7th consecutive quarter of 50%+ growth.</w:t>
      </w:r>
    </w:p>
    <w:p>
      <w:r>
        <w:rPr>
          <w:rFonts w:ascii="Calibri" w:hAnsi="Calibri"/>
          <w:b/>
          <w:color w:val="6E8450"/>
          <w:sz w:val="18"/>
        </w:rPr>
        <w:t>1,274 Employees · https://www.dlocal.com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DLocal scaled from $419M revenue in 2022 to a $1.6B annualized run-rate in Q2 2026, with TPV reaching $18B (+92% YoY) — the 7th consecutive quarter of 50%+ growth [1]. Geographic expansion from Latin America into 44+ countries across Africa, Asia, and the Middle East opened new revenue streams and diversified concentration risk. However, the core business model of cross-border payment processing remains fundamentally unchanged. AI Deployment (2/2): DLocal's AI-driven automation delivered the productivity equivalent of roughly 7% of total headcount in 2025, enabling the company to scale across 44+ markets without proportionally increasing costs [2]. This is a specific, quantified internal efficiency gain from AI deployment. Market Share (2/2): Leading independent cross-border payment platform for emerging markets, serving 600+ enterprise merchants including Amazon, Microsoft, Google, Spotify, and Uber [1][2]. No direct competitor matches DLocal's geographic breadth with single-API integration across 44+ countries with hundreds of local payment methods. Product Pipeline (1/2): Expanding into stablecoin on-ramps, BNPL integration, virtual accounts, and card-present solutions, with growth into new verticals including travel, crypto, and AI companies [2]. However, no specific next-gen products with named launch dates or revenue visibility. R&amp;D Intensity (1/1): Technology-first company with continuous investment in local payment method integrations, regulatory compliance automation, and fraud detection across 44+ diverse regulatory environments.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DLocal's stated purpose is to make 'commerce and payments borderless in emerging markets,' connecting commercial activity to financial inclusion for billions of underbanked consumers in developing economies [2]. The mission is clear and specific to what DLocal does, but it describes the business model rather than an aspirational future state that inspires sacrifice, and is interchangeable with fintech peers targeting similar markets. Community Impact (0/2): No evidence of charitable programs, foundations, or community investment initiatives beyond the company's core commercial payment operations. Employee Retention (0/2): Glassdoor ratings of 3.1-3.3 across work-life balance, culture, and career opportunities are below industry averages; employee reviews cite 'lack of trust and excessive micromanagement' and 'rigid team culture that discourages mistakes' [3]. These are negative retention signals. Insider Buying (0/2): Net insider selling — founder Sebastian Kanovich has been a regular seller of shares. Recurring short-seller allegations (Muddy Waters 2022, Hollenden Square 2025) further complicate insider conviction narrative [3].</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near-perfect on available metrics. D/E of 12.46% reflects an essentially debt-free balance sheet, far below the 70% target [4]. ROE of 41.29% is nearly 3x the 15% target, demonstrating exceptional capital efficiency. Forward P/E of 12.14x is well below the 20x target, and estimated forward PEG of approximately 0.42 (based on 28.6% earnings growth) is far below the 1.0 target. Revenue growth YoY of 55.8% and estimated 5-year revenue CAGR of approximately 40% (from $419M in 2022 to a $1.4B+ TTM run-rate) both far exceed the 10% target [1]. The only weakness is profit margin of 15.04%, modestly below the 20% target, reflecting gross margin compression as geographic mix shifts toward lower-take-rate regions in Africa and Asia. Liquidity is ample at ~$34.7M daily traded value.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DLocal operates with a commercially driven, growth-focused mindset typical of a young, fast-scaling fintech. While the expansion from LatAm to 44+ countries demonstrates ambition, strategic decisions appear driven by market opportunity rather than an enduring purpose. Recurring governance controversies — Muddy Waters fraud allegations (2022), Argentine investigation (2023), Hollenden Square report (2025) — undermine the trust foundation essential for infinite game thinking. Below-average employee sentiment and a founder transition to a finance-oriented CEO suggest operational optimization rather than purpose-driven leadership.</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DLocal's cause — making commerce borderless in emerging markets — is genuine and connects to financial inclusion for underserved consumers [2]. CEO Pedro Arnt's background at MercadoLibre brings depth to the emerging market financial inclusion narrative. However, the cause is commercial rather than transformative, the company is only 10 years old and has not been tested through sustained adversity, and recurring fraud allegations cast doubt on whether purpose drives corporate behavior versus growth at all costs.</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Low organizational trust indicated by multiple signals. Glassdoor ratings of 3.1-3.3 are below industry averages, with employee reviews citing 'lack of trust and excessive micromanagement' and 'rigid team culture that discourages mistakes' [3]. CEO Pedro Arnt acknowledges the culture is 'not for everyone,' signaling exclusivity rather than psychological safety. Recurring short-seller allegations (three since 2022) create organizational uncertainty that erodes internal trust.</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DLocal positions itself as uniquely dominant in emerging market payments, emphasizing that no direct competitor matches its scale and geographic breadth across 44+ countries [2]. Competitive narrative focuses on superiority over rivals like Adyen, Stripe, and MercadoPago rather than learning from their strengths. No evidence of management commentary referencing competitors as sources of improvement.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DLocal has evolved from a LatAm-only pay-in processor to a full-stack payments platform across 44+ countries, adding payouts, stablecoin on-ramps, BNPL, virtual accounts, and card-present solutions [1][2]. Geographic expansion into Africa and Asia represents meaningful market diversification. However, the core business model — processing payments for global merchants in emerging markets — has remained fundamentally unchanged since founding, and the company has not yet faced the existential test of abandoning a profitable line.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DLocal demonstrated courage by recruiting Pedro Arnt from MercadoLibre as CEO in 2024, bringing in an experienced outsider to professionalize the organization during rapid scaling [2]. The company invested heavily in geographic expansion to Africa and Asia even as gross margins compressed, prioritizing long-term market positioning over short-term profitability. However, recurring governance controversies have been met with reactive responses rather than proactive transparency.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DLocal delivered record Q2 2026 results with $400M revenue (+56% YoY) and TPV of nearly $18B (+92% YoY), marking the 7th consecutive quarter of 50%+ growth [1]. Management raised full-year 2026 guidance to 60-70% TPV growth and 25-30% gross profit growth, signaling sustained momentum. At a forward P/E of 12.14x and estimated PEG of 0.42, DLocal is one of the most attractively valued high-growth fintechs globally — trading at a fraction of peers like Adyen (40x+) despite superior revenue growth [4]. D/E of just 12.46%, ROE of 41.29%, and AI-driven operational efficiency (7% headcount equivalent savings) demonstrate a capital-light, scalable business model [2]. The 44+ country network across emerging markets creates a widening competitive moat as each new payment method integration increases switching costs for 600+ enterprise merchants.</w:t>
      </w:r>
    </w:p>
    <w:p>
      <w:pPr>
        <w:spacing w:after="120"/>
      </w:pPr>
      <w:r>
        <w:rPr>
          <w:rFonts w:ascii="Calibri" w:hAnsi="Calibri"/>
          <w:b w:val="0"/>
          <w:color w:val="3A4A28"/>
          <w:sz w:val="20"/>
        </w:rPr>
        <w:t>The bear case centers on margin compression, governance risk, and emerging market volatility. Profit margin of 15.04% is below the 20% target and has compressed as geographic mix shifts toward lower-take-rate regions in Africa and Asia — Q2 2026 revenue topped estimates but EPS missed, signaling that volume growth is not fully translating to bottom-line profitability [1]. Recurring governance controversies — Muddy Waters fraud allegations (2022), Argentine government investigation (2023), Hollenden Square money laundering report (2025) — create a permanent credibility discount even though investigations found allegations 'not substantiated' [3]. Employee sentiment is weak with Glassdoor ratings of 3.1-3.3 and complaints of micromanagement, suggesting organizational growing pains. Emerging market concentration creates simultaneous currency, regulatory, and political risks across 44+ jurisdictions — a single capital control event in a major market (Brazil, Mexico, Nigeria) could materially impact revenue.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Raised 2026 guidance to 60-70% TPV growth and 25-30% gross profit growth, with TPV trajectory toward $70B+ annualized run-rate as network effects accelerate merchant adoption across 44+ countries [1]</w:t>
      </w:r>
    </w:p>
    <w:p>
      <w:pPr>
        <w:spacing w:before="40" w:after="40"/>
        <w:ind w:left="283"/>
      </w:pPr>
      <w:r>
        <w:rPr>
          <w:rFonts w:ascii="Calibri" w:hAnsi="Calibri"/>
          <w:b/>
          <w:color w:val="4A6B25"/>
          <w:sz w:val="20"/>
        </w:rPr>
        <w:t xml:space="preserve">2. </w:t>
      </w:r>
      <w:r>
        <w:rPr>
          <w:rFonts w:ascii="Calibri" w:hAnsi="Calibri"/>
          <w:b w:val="0"/>
          <w:color w:val="3A4A28"/>
          <w:sz w:val="20"/>
        </w:rPr>
        <w:t>Forward PEG of approximately 0.42 signals significant undervaluation relative to ~40% revenue CAGR — multiple re-rating potential as the company demonstrates sustained profitability improvement and governance maturity [4]</w:t>
      </w:r>
    </w:p>
    <w:p>
      <w:pPr>
        <w:spacing w:before="40" w:after="40"/>
        <w:ind w:left="283"/>
      </w:pPr>
      <w:r>
        <w:rPr>
          <w:rFonts w:ascii="Calibri" w:hAnsi="Calibri"/>
          <w:b/>
          <w:color w:val="4A6B25"/>
          <w:sz w:val="20"/>
        </w:rPr>
        <w:t xml:space="preserve">3. </w:t>
      </w:r>
      <w:r>
        <w:rPr>
          <w:rFonts w:ascii="Calibri" w:hAnsi="Calibri"/>
          <w:b w:val="0"/>
          <w:color w:val="3A4A28"/>
          <w:sz w:val="20"/>
        </w:rPr>
        <w:t>AI-driven automation delivering 7% headcount equivalent in productivity gains creates operating leverage that could improve margins as the platform scales without proportional cost growth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Profit margin compression from 18% to 15% as geographic mix shifts to lower-take-rate regions — Q2 2026 EPS missed despite revenue beat, signaling operating leverage has not yet materialized [1]</w:t>
      </w:r>
    </w:p>
    <w:p>
      <w:pPr>
        <w:spacing w:before="40" w:after="40"/>
        <w:ind w:left="283"/>
      </w:pPr>
      <w:r>
        <w:rPr>
          <w:rFonts w:ascii="Calibri" w:hAnsi="Calibri"/>
          <w:b/>
          <w:color w:val="4A6B25"/>
          <w:sz w:val="20"/>
        </w:rPr>
        <w:t xml:space="preserve">2. </w:t>
      </w:r>
      <w:r>
        <w:rPr>
          <w:rFonts w:ascii="Calibri" w:hAnsi="Calibri"/>
          <w:b w:val="0"/>
          <w:color w:val="3A4A28"/>
          <w:sz w:val="20"/>
        </w:rPr>
        <w:t>Recurring governance controversies from three separate short-seller reports since 2022 create permanent credibility discount, ongoing class action liability, and potential regulatory consequences that cap the valuation multiple [3]</w:t>
      </w:r>
    </w:p>
    <w:p>
      <w:pPr>
        <w:spacing w:before="40" w:after="40"/>
        <w:ind w:left="283"/>
      </w:pPr>
      <w:r>
        <w:rPr>
          <w:rFonts w:ascii="Calibri" w:hAnsi="Calibri"/>
          <w:b/>
          <w:color w:val="4A6B25"/>
          <w:sz w:val="20"/>
        </w:rPr>
        <w:t xml:space="preserve">3. </w:t>
      </w:r>
      <w:r>
        <w:rPr>
          <w:rFonts w:ascii="Calibri" w:hAnsi="Calibri"/>
          <w:b w:val="0"/>
          <w:color w:val="3A4A28"/>
          <w:sz w:val="20"/>
        </w:rPr>
        <w:t>Emerging market concentration exposes the business to simultaneous currency devaluations, capital controls, and regulatory changes across 44+ jurisdictions with limited hedging options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Cross-border payment processing in emerging markets requires regulatory licenses, local banking partnerships, correspondent banking relationships, and compliance infrastructure across 44+ countries — regulatory and physical moats that AI structurally cannot replicate [1][2]. Payment method fragmentation (cards, bank transfers, cash, mobile money, BNPL) demands boots-on-the-ground integrations that take years to build. Switching costs are high for enterprise merchants with integrated payment flows. However, AI could accelerate competitors' ability to replicate local payment integrations, and AI-driven automation could commoditize the technology layer of payment routing and fraud detection over time. AI Opportunity (0/1): DLocal does not generate revenue from AI-related products or services sold to customers. The company uses AI internally for operational efficiency (7% headcount equivalent savings in 2025) but this is cost optimization, not AI revenue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33</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DLocal Q1-Q2 2026 Earnings — Q1 Revenue $335.9M (+55% YoY), TPV $14.1B (+73%); Q2 Revenue $400M (+56% YoY), TPV $18B (+92%); Raised 2026 Guidance: TPV Growth 60-70%, Gross Profit Growth 25-30% — SEC 6-K Filings, FXCIntel, May-August 2026</w:t>
      </w:r>
    </w:p>
    <w:p>
      <w:pPr>
        <w:spacing w:before="20" w:after="20"/>
        <w:ind w:left="170"/>
      </w:pPr>
      <w:r>
        <w:rPr>
          <w:rFonts w:ascii="Calibri" w:hAnsi="Calibri"/>
          <w:b/>
          <w:color w:val="4A6B25"/>
          <w:sz w:val="15"/>
        </w:rPr>
        <w:t xml:space="preserve">2. </w:t>
      </w:r>
      <w:r>
        <w:rPr>
          <w:rFonts w:ascii="Calibri" w:hAnsi="Calibri"/>
          <w:b w:val="0"/>
          <w:color w:val="3A4A28"/>
          <w:sz w:val="17"/>
        </w:rPr>
        <w:t>DLocal CEO Pedro Arnt Leadership, AI Strategy, Culture — 7% Headcount AI Productivity Gains, 'Culture Not for Everyone,' Four Growth Dimensions — AS/COA, Bain &amp; Company, Forbes, 2024-2026</w:t>
      </w:r>
    </w:p>
    <w:p>
      <w:pPr>
        <w:spacing w:before="20" w:after="20"/>
        <w:ind w:left="170"/>
      </w:pPr>
      <w:r>
        <w:rPr>
          <w:rFonts w:ascii="Calibri" w:hAnsi="Calibri"/>
          <w:b/>
          <w:color w:val="4A6B25"/>
          <w:sz w:val="15"/>
        </w:rPr>
        <w:t xml:space="preserve">3. </w:t>
      </w:r>
      <w:r>
        <w:rPr>
          <w:rFonts w:ascii="Calibri" w:hAnsi="Calibri"/>
          <w:b w:val="0"/>
          <w:color w:val="3A4A28"/>
          <w:sz w:val="17"/>
        </w:rPr>
        <w:t>DLocal Governance and Employee Sentiment — Muddy Waters (2022), Argentine Investigation (2023), Hollenden Square (2025), Glassdoor 3.1-3.3, Insider Selling — SEC Filings, Glassdoor,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Yahoo Finance, StockAnalysis — DLO Key Statistics: Forward P/E 12.14x, ROE 41.29%, D/E 12.46%, Profit Margin 15.04%, Stock Price $13.88,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