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DNOW</w:t>
      </w:r>
      <w:r>
        <w:rPr>
          <w:rFonts w:ascii="Calibri" w:hAnsi="Calibri"/>
          <w:b/>
          <w:color w:val="1A2010"/>
          <w:sz w:val="40"/>
        </w:rPr>
        <w:t xml:space="preserve">  DNOW Inc.</w:t>
      </w:r>
    </w:p>
    <w:p>
      <w:pPr>
        <w:spacing w:after="120"/>
      </w:pPr>
      <w:r>
        <w:rPr>
          <w:rFonts w:ascii="Calibri" w:hAnsi="Calibri"/>
          <w:b/>
          <w:color w:val="6E8450"/>
          <w:sz w:val="18"/>
        </w:rPr>
        <w:t>GROWTH SLEEVE · 2026-09-03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NYSE · United States</w:t>
      </w:r>
    </w:p>
    <w:p>
      <w:pPr>
        <w:spacing w:after="80"/>
      </w:pPr>
      <w:r>
        <w:rPr>
          <w:rFonts w:ascii="Calibri" w:hAnsi="Calibri"/>
          <w:b w:val="0"/>
          <w:color w:val="3A4A28"/>
          <w:sz w:val="20"/>
        </w:rPr>
        <w:t>DNOW Inc. is the largest distributor of pipes, valves, fittings (PVF), and related products to the energy and industrial markets globally, following its transformative all-stock acquisition of MRC Global completed in November 2025. The combined company operates 350+ service and distribution locations in 20+ countries, serving upstream, midstream, downstream, gas utility, and industrial end markets. Founded in 1862, DNOW spun off from National Oilwell Varco in 2014. CEO Dave Cherechinsky (since 2020) is leading integration of MRC Global with expected $70M annual cost synergies within three years. Q2 CY2026 revenue was $1.31B (+108% YoY, mostly from MRC acquisition), and full-year 2026 revenue is guided at $5.0-$5.1B with EBITDA margins approaching 4.5%.</w:t>
      </w:r>
    </w:p>
    <w:p>
      <w:r>
        <w:rPr>
          <w:rFonts w:ascii="Calibri" w:hAnsi="Calibri"/>
          <w:b/>
          <w:color w:val="6E8450"/>
          <w:sz w:val="18"/>
        </w:rPr>
        <w:t>5,100 Employees · https://www.dnow.com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DNOW's most significant strategic action in the last 5 years is the all-stock acquisition of MRC Global (completed November 2025), which transformed DNOW from a mid-sized PVF distributor into the market leader with $5B+ in annual revenue [1]. This is a meaningful business transformation through M&amp;A rather than organic product innovation. The company also executed a significant cost and structural transformation under CEO Cherechinsky, improving margins and competitive positioning [2]. AI Deployment (0/2): No evidence of AI-powered products or quantified AI-driven cost savings. DNOW's DigitalNOW platform provides standard e-commerce and digital ordering capabilities for industrial customers, but this is conventional digital commerce rather than AI deployment [2]. Market Share (2/2): Post-MRC Global acquisition, DNOW is the #1 PVF distributor in the energy and industrial markets globally, operating 350+ locations in 20+ countries with combined revenue approaching $5.1B [1]. The company's scale advantage enables superior purchasing power, broader inventory availability, and national/global coverage that smaller competitors cannot match. Product Pipeline (0/2): No next-generation products with specific launch dates and revenue visibility. Integration of MRC Global onto SAP and achievement of $70M synergies are operational priorities rather than product innovations [1]. R&amp;D Intensity (0/1): Industrial distribution has minimal formal R&amp;D spending. DNOW invests in digital platforms and supply chain efficiency rather than research-driven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DNOW positions itself as a 'premier solutions provider to the energy and industrial markets,' which is generic and interchangeable with any industrial distributor [2]. The mission describes what the company does commercially without articulating a deeper purpose or vision of a future state. There is no evidence that leadership has articulated why DNOW exists beyond serving customers and generating returns. Community Impact (0/2): No evidence of distinctive charitable foundation or community investment programs was identified. DNOW publishes annual sustainability reports but specific dollar amounts or measurable community impact were not found [3]. Employee Retention (0/2): With 5,100 employees across 350+ locations following the MRC Global integration, no publicly available retention data was found. The acquisition integration period introduces organizational uncertainty that typically increases turnover. Insider Buying (0/2): No evidence of meaningful net insider buying by CEO Cherechinsky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DNOW's balance sheet is conservatively managed with D/E of only 31% (well below the 70% target, scoring 1.0), even after the $649M debt taken on for the MRC Global acquisition [4]. Revenue growth YoY of 69.8% (TTM) and 5yr CAGR of ~11.8% both score 1.0, though the YoY figure is largely driven by the MRC acquisition rather than organic growth — Q2 CY2026 organic growth was approximately low-to-mid single digits [1]. Forward P/E of 30.44x scores 0.74, reflecting premium valuation for the acquisition turnaround story. ROE is negative (TTM -$188M net income due to MRC Global acquisition-related charges including intangible amortization and integration costs), scoring 0.0 with 2x weight [4]. Profit margin of -4.6% (TTM) is similarly distorted by one-time acquisition charges, scoring 0.0 — FY2024 pre-acquisition profit margin was 3.2% and management guides toward 4.5% EBITDA margins [1]. Forward PEG estimated at ~2.0 based on normalized long-term EPS growth of ~15%, scoring 0.49 with 2x weight. Weighted sum: 5.71 / max 10.0 = 5.7, rounded to 6. Liquidity floor cleared at ~$24.9M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DNOW operates with a predominantly finite mindset — the company's strategic framing centers on market share leadership, cost synergies, and financial returns rather than a purpose-driven vision of the future. The MRC Global acquisition, while transformative in scale, was pursued for competitive and financial reasons rather than a cause-driven reinvention. The company's 162-year heritage provides durability, but the strategic orientation under CEO Cherechinsky is focused on operational efficiency and market position rather than Sinek's infinite game principles. No evidence of a Just Cause, competitive self-awareness, or purpose-beyond-profit was identified.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DNOW's stated identity as a 'premier solutions provider to energy and industrial markets' is a competitive positioning statement, not a Just Cause [2]. There is no articulated vision of a future state so appealing that stakeholders would sacrifice to advance it. Leadership communications center on market share, synergies, and financial performance. The energy distribution industry is commercially essential but DNOW has not connected its work to a larger purpose beyond serving customers efficiently and generating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Dave Cherechinsky has provided stable leadership since June 2020, and the executive team has demonstrated continuity through the significant MRC Global acquisition and integration [2]. The decentralized structure with 350+ locations requires trust in local management. The company successfully navigated the COVID downturn and subsequent recovery, suggesting organizational resilience. However, the MRC Global integration is ongoing with headcount optimization expected, which introduces organizational uncertainty. No specific employee sentiment data or cultural indicators were identified beyond the stable leadership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DNOW's competitive communications focus on its own market-leading scale and capabilities following the MRC acquisition rather than acknowledging competitors' strengths or expressing interest in learning from rivals [1]. The acquisition of MRC Global itself reflects a 'beat the competition by buying them' strategy rather than competitive self-improvement. No evidence of management referencing what competitors like Wesco, Ferguson, or other distributors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MRC Global acquisition represents meaningful business model evolution — DNOW transformed from a mid-sized distributor focused on upstream oil and gas into the dominant energy and industrial PVF distributor with significantly broader end-market exposure (gas utilities, midstream, industrial) [1]. The company also underwent cost restructuring under Cherechinsky that reshaped the business for profitability at lower activity levels. These are meaningful adaptations, though the core business model of distributing physical industrial products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all-stock acquisition of MRC Global was a bold transformative bet — doubling the company's size in a single move, taking on integration risk, and committing to $70M in synergies [1]. CEO Cherechinsky also led a significant cost and structural transformation that improved DNOW's competitive position during the energy market downturn. However, M&amp;A-driven transformation is more conventional in industrial distribution than it is courageous in Sinek's framework — the decision was financially motivated to create scale advantages rather than a principled sacrifice of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DNOW at $15.80 offers a compelling post-acquisition transformation story — the MRC Global combination creates the largest PVF distributor globally with $5.0-$5.1B guided 2026 revenue, 350+ locations, and scale advantages in purchasing, inventory, and customer coverage that smaller competitors cannot match [1]. Management's $70M annual synergy target (with $30M in year one, ahead of original estimates) provides a clear earnings recovery path as acquisition charges roll off and integration efficiencies materialize. The conservative balance sheet (D/E 31%, expected net cash position within one year) provides financial flexibility for organic investment and potential further consolidation. Q2 CY2026 revenue of $1.31B (+10% sequentially) exceeded expectations, demonstrating the combined platform's revenue power. The Inspire Impact Score of 41 (ALIGNED) with no negative attributions and strong marks for business ethics, ethical supply chain, and materials efficiency reflects well for faith-aligned portfolios. Analyst consensus is Strong Buy with a $18.75 price target (+18.7% upside) [4].</w:t>
      </w:r>
    </w:p>
    <w:p>
      <w:pPr>
        <w:spacing w:after="120"/>
      </w:pPr>
      <w:r>
        <w:rPr>
          <w:rFonts w:ascii="Calibri" w:hAnsi="Calibri"/>
          <w:b w:val="0"/>
          <w:color w:val="3A4A28"/>
          <w:sz w:val="20"/>
        </w:rPr>
        <w:t>The bear case centers on integration execution risk and cyclical energy market exposure. DNOW's TTM net loss of -$188M and profit margin of -4.6% reflect significant acquisition-related charges (intangible amortization, integration costs, transaction expenses) that will take multiple quarters to normalize — the company is essentially unprofitable during the integration period [4]. The Forward P/E of 30.44x is demanding for an industrial distributor, pricing in substantial earnings recovery that is not yet proven. Energy market cyclicality is a structural risk — DNOW's revenue is correlated with oil and gas capital spending, which can decline 30-50% in downturns (as it did in 2015-2016 and 2020). The $70M synergy target requires successful SAP migration of MRC Global locations, headcount optimization, and supply chain consolidation — complex multi-year execution that frequently disappoints. DNOW's 5,100-employee workforce includes two previously separate organizations with different cultures, systems, and customer relationships, creating integration friction. As a small-cap ($2.86B) with modest analyst coverage (4 analysts), DNOW has limited institutional attention and liquidity relative to larger industrial distributors.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MRC Global synergy realization — $30M first-year synergies (above original estimate) with a path to $70M annually within 3 years, directly flowing to EBITDA and enabling rapid earnings recovery as acquisition charges normalize [1]</w:t>
      </w:r>
    </w:p>
    <w:p>
      <w:pPr>
        <w:spacing w:before="40" w:after="40"/>
        <w:ind w:left="283"/>
      </w:pPr>
      <w:r>
        <w:rPr>
          <w:rFonts w:ascii="Calibri" w:hAnsi="Calibri"/>
          <w:b/>
          <w:color w:val="4A6B25"/>
          <w:sz w:val="20"/>
        </w:rPr>
        <w:t xml:space="preserve">2. </w:t>
      </w:r>
      <w:r>
        <w:rPr>
          <w:rFonts w:ascii="Calibri" w:hAnsi="Calibri"/>
          <w:b w:val="0"/>
          <w:color w:val="3A4A28"/>
          <w:sz w:val="20"/>
        </w:rPr>
        <w:t>Energy infrastructure spending driven by LNG export expansion, power generation demand from AI data centers, and gas utility modernization providing multi-year demand tailwinds for PVF distribution</w:t>
      </w:r>
    </w:p>
    <w:p>
      <w:pPr>
        <w:spacing w:before="40" w:after="40"/>
        <w:ind w:left="283"/>
      </w:pPr>
      <w:r>
        <w:rPr>
          <w:rFonts w:ascii="Calibri" w:hAnsi="Calibri"/>
          <w:b/>
          <w:color w:val="4A6B25"/>
          <w:sz w:val="20"/>
        </w:rPr>
        <w:t xml:space="preserve">3. </w:t>
      </w:r>
      <w:r>
        <w:rPr>
          <w:rFonts w:ascii="Calibri" w:hAnsi="Calibri"/>
          <w:b w:val="0"/>
          <w:color w:val="3A4A28"/>
          <w:sz w:val="20"/>
        </w:rPr>
        <w:t>Earnings normalization from current TTM loss of -$188M to positive profitability as one-time acquisition charges roll off, with EBITDA margins guided to approach 4.5% — representing a significant earnings inflection that could catalyze multiple re-rating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 merging DNOW and MRC Global's systems (SAP migration), cultures, and customer relationships across 350+ locations is complex multi-year work, and failure to achieve $70M synergies would undermine the acquisition thesis [1]</w:t>
      </w:r>
    </w:p>
    <w:p>
      <w:pPr>
        <w:spacing w:before="40" w:after="40"/>
        <w:ind w:left="283"/>
      </w:pPr>
      <w:r>
        <w:rPr>
          <w:rFonts w:ascii="Calibri" w:hAnsi="Calibri"/>
          <w:b/>
          <w:color w:val="4A6B25"/>
          <w:sz w:val="20"/>
        </w:rPr>
        <w:t xml:space="preserve">2. </w:t>
      </w:r>
      <w:r>
        <w:rPr>
          <w:rFonts w:ascii="Calibri" w:hAnsi="Calibri"/>
          <w:b w:val="0"/>
          <w:color w:val="3A4A28"/>
          <w:sz w:val="20"/>
        </w:rPr>
        <w:t>Energy market cyclicality — a sharp decline in oil and gas capital spending (potential recession, OPEC production decisions, or energy transition acceleration) could compress DNOW's revenue 20-30% from current levels, amplifying losses on the leveraged cost structure</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30.4x forward earnings for an industrial distributor requires significant earnings recovery that has not yet materialized — if profitability normalization takes longer than expected or synergies disappoint, the stock is vulnerable to de-rating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DNOW's core business — distributing physical pipes, valves, fittings, and industrial supplies to energy and industrial customers — is structurally protected from AI disruption [1]. The business requires physical warehousing, logistics, inventory management, and local customer relationships that AI cannot substitute. Energy infrastructure projects require on-the-ground distribution capabilities with broad product availability and technical expertise that digital-only models cannot replicate. No analyst has identified AI as a risk factor for PVF distribution. However, DNOW faces potential competitive pressure if larger industrial distributors (Wesco, Ferguson) leverage AI for superior supply chain optimization, pricing, and demand forecasting. AI Opportunity (0/1): DNOW does not generate quantifiable AI-related revenue. The DigitalNOW e-commerce platform is conventional digital commerce, and while AI could improve internal operations (inventory optimization, demand forecasting), no AI revenue or quantified savings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DNOW Q2 CY2026 Earnings Release — Revenue $1.31B (+108% YoY, +10% Sequentially), Full-Year Guidance $5.0-$5.1B Revenue, EBITDA Margins Approaching 4.5%, First-Year Synergies ~$30M — Yahoo Finance, StockStory, August 2026</w:t>
      </w:r>
    </w:p>
    <w:p>
      <w:pPr>
        <w:spacing w:before="20" w:after="20"/>
        <w:ind w:left="170"/>
      </w:pPr>
      <w:r>
        <w:rPr>
          <w:rFonts w:ascii="Calibri" w:hAnsi="Calibri"/>
          <w:b/>
          <w:color w:val="4A6B25"/>
          <w:sz w:val="15"/>
        </w:rPr>
        <w:t xml:space="preserve">2. </w:t>
      </w:r>
      <w:r>
        <w:rPr>
          <w:rFonts w:ascii="Calibri" w:hAnsi="Calibri"/>
          <w:b w:val="0"/>
          <w:color w:val="3A4A28"/>
          <w:sz w:val="17"/>
        </w:rPr>
        <w:t>DNOW Corporate Profile and Leadership — CEO Dave Cherechinsky (Jun 2020), DigitalNOW Platform, 350+ Locations in 20+ Countries, 5,100 Employees, Founded 1862 — DNOW.com, SEC Filings, 2025-2026</w:t>
      </w:r>
    </w:p>
    <w:p>
      <w:pPr>
        <w:spacing w:before="20" w:after="20"/>
        <w:ind w:left="170"/>
      </w:pPr>
      <w:r>
        <w:rPr>
          <w:rFonts w:ascii="Calibri" w:hAnsi="Calibri"/>
          <w:b/>
          <w:color w:val="4A6B25"/>
          <w:sz w:val="15"/>
        </w:rPr>
        <w:t xml:space="preserve">3. </w:t>
      </w:r>
      <w:r>
        <w:rPr>
          <w:rFonts w:ascii="Calibri" w:hAnsi="Calibri"/>
          <w:b w:val="0"/>
          <w:color w:val="3A4A28"/>
          <w:sz w:val="17"/>
        </w:rPr>
        <w:t>DNOW ESG and Sustainability — Annual Sustainability Reports, ESG Committee (est. 2019), Workforce Diversity Programs — DNOW.com, Yahoo Finance,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DNOW Key Statistics: Stock Price $15.80, Forward P/E 30.44x, D/E 31%, Market Cap $2.86B, Total Debt $649M, Equity $2.1B, Revenue TTM $4.08B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