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DNTH</w:t>
      </w:r>
      <w:r>
        <w:rPr>
          <w:rFonts w:ascii="Calibri" w:hAnsi="Calibri"/>
          <w:b/>
          <w:color w:val="1A2010"/>
          <w:sz w:val="40"/>
        </w:rPr>
        <w:t xml:space="preserve">  Dianthus Therapeutics, Inc.</w:t>
      </w:r>
    </w:p>
    <w:p>
      <w:pPr>
        <w:spacing w:after="120"/>
      </w:pPr>
      <w:r>
        <w:rPr>
          <w:rFonts w:ascii="Calibri" w:hAnsi="Calibri"/>
          <w:b/>
          <w:color w:val="6E8450"/>
          <w:sz w:val="18"/>
        </w:rPr>
        <w:t>GROWTH SLEEVE · 2026-09-30 · Inspire: 33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49</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Healthcare · Biotechnology · NASDAQ · United States</w:t>
      </w:r>
    </w:p>
    <w:p>
      <w:pPr>
        <w:spacing w:after="80"/>
      </w:pPr>
      <w:r>
        <w:rPr>
          <w:rFonts w:ascii="Calibri" w:hAnsi="Calibri"/>
          <w:b w:val="0"/>
          <w:color w:val="3A4A28"/>
          <w:sz w:val="20"/>
        </w:rPr>
        <w:t>Dianthus Therapeutics is a clinical-stage biotechnology company focused on developing antibody complement therapeutics for severe autoimmune and inflammatory diseases. Lead candidate claseprubart is an anti-C1s monoclonal antibody in Phase 3 trials for generalized myasthenia gravis (gMG) and chronic inflammatory demyelinating polyneuropathy (CIDP), with additional programs in multifocal motor neuropathy (MMN). Pipeline includes DNTH212 and DNTH312 bifunctional fusion proteins. Headquartered in New York with approximately $887M in cash.</w:t>
      </w:r>
    </w:p>
    <w:p>
      <w:r>
        <w:rPr>
          <w:rFonts w:ascii="Calibri" w:hAnsi="Calibri"/>
          <w:b/>
          <w:color w:val="6E8450"/>
          <w:sz w:val="18"/>
        </w:rPr>
        <w:t>92 Employees · https://dianthustx.com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Dianthus rapidly advanced claseprubart from early clinical development to three concurrent late-stage programs in under four years — Phase 3 EMERGE (gMG), Phase 3 CAPTIVATE (CIDP showing 75% response rate in first 40 patients), and Phase 2 MoMeNtum (MMN with 46 patients enrolled, exceeding the 36-patient target) [1]. The $1B licensing deal with Leads Biolabs for LBL-047 in October 2025 demonstrates strong business development execution [1]. AI Deployment (0/2): No evidence of AI-powered drug discovery or AI-driven operational efficiencies. SEC filings note AI integration risks around cybersecurity but no proactive AI deployment strategy [2]. Market Share (0/2): Pre-commercial clinical-stage company with zero market share. Claseprubart has not yet received regulatory approval in any indication [1]. Product Pipeline (2/2): Exceptional pipeline specificity: claseprubart Phase 3 EMERGE (gMG, results 2H 2028), Phase 3 CAPTIVATE Part B guidance by YE 2026, Phase 2 MoMeNtum results December 2026, DNTH212 Phase 1 data by YE 2026, and DNTH312 Phase 1-ready by YE 2027 [1]. Five distinct clinical readouts within 18 months provides clear visibility. R&amp;D Intensity (1/1): R&amp;D spending of $83.2M in H1 2026 against $1.9M TTM revenue represents near-infinite R&amp;D intensity — the company exists to do research, placing it in the top fraction of biotech R&amp;D commitment [1].</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Dianthus's purpose — advancing complement-targeted therapeutics for patients with severe autoimmune diseases — is clear, patient-focused, and specific to an underserved disease area (gMG, CIDP, MMN), differentiating from generic biotech missions [1]. However, it describes what the company does rather than articulating a vision of a future state. Community Impact (0/2): No specific charitable programs, foundation activities, or community investments identified. As a clinical-stage company, community giving is not a current focus area. Employee Retention (2/2): Dianthus is Great Place to Work Certified with exceptional employee sentiment — 94% say it is a great place to work, significantly above the 57% U.S. company average [3]. Built In profiles emphasize collaborative culture and empowerment, suggesting genuine mission-driven retention. Insider Buying (0/2): Insider ownership is minimal at 0.12% of shares outstanding. No evidence of meaningful net insider buying by CEO Marino Garcia or other executives in the last 12 months.</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for a pre-revenue clinical-stage biotech. D/E of 0.11% is exceptional, reflecting $887M cash against minimal debt — the company is conservatively capitalized [4]. ROE of -26.1% scores 0 as the company is pre-profit, burning approximately $93M annually in free cash flow to fund concurrent Phase 2/3 programs [1]. Profit margin of 0% (effectively deeply negative when accounting for $40.8M quarterly net losses against $1.9M TTM revenue) scores 0 [1]. Revenue growth YoY of 294% scores maximally but is from a negligible base — licensing/grant revenue grew from ~$0.46M to $0.76M quarterly, immaterial to the investment thesis. Forward P/E is negative (unprofitable) and Forward PEG and 5yr revenue CAGR are unavailable, all excluded from calculation. Liquidity floor easily cleared with daily trading value of approximately $72.3M ($87.16 x 830K avg volume).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B8860B"/>
          <w:sz w:val="28"/>
        </w:rPr>
        <w:t>4</w:t>
      </w:r>
      <w:r>
        <w:rPr>
          <w:rFonts w:ascii="Calibri" w:hAnsi="Calibri"/>
          <w:b w:val="0"/>
          <w:color w:val="9DAF88"/>
          <w:sz w:val="18"/>
        </w:rPr>
        <w:t xml:space="preserve"> /10</w:t>
      </w:r>
    </w:p>
    <w:p>
      <w:pPr>
        <w:spacing w:after="120"/>
      </w:pPr>
      <w:r>
        <w:rPr>
          <w:rFonts w:ascii="Calibri" w:hAnsi="Calibri"/>
          <w:b w:val="0"/>
          <w:color w:val="3A4A28"/>
          <w:sz w:val="18"/>
        </w:rPr>
        <w:t>Dianthus Therapeutics has a clear patient-focused purpose but plays the standard biotech game — raise capital, advance clinical candidates, achieve regulatory milestones, and create shareholder value through pipeline derisking. The company has built an exceptional team culture (Great Place to Work Certified with 94% employee approval) but is too young and too narrowly focused on a single therapeutic platform to demonstrate the multi-decade consistency Sinek looks for in infinite game players. CEO Marino Garcia has shown boldness in pursuing three concurrent late-stage programs but the company has not yet faced existential strategic tests.</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Dianthus's purpose — treating severe autoimmune diseases through complement therapeutics — is patient-centered and connected to real human suffering, which elevates it above pure shareholder-return framing [1]. However, it is essentially a product-company mission (make this drug and sell it) rather than a Just Cause that could survive beyond any single product. It does not describe a future state so compelling that people sacrifice to advance it — it describes a business plan. Sinek would distinguish between a genuinely noble goal and a commercial strategy with noble framing.</w:t>
      </w:r>
    </w:p>
    <w:p>
      <w:pPr>
        <w:spacing w:before="200" w:after="40"/>
      </w:pPr>
      <w:r>
        <w:rPr>
          <w:rFonts w:ascii="Calibri" w:hAnsi="Calibri"/>
          <w:b/>
          <w:color w:val="1A2010"/>
          <w:sz w:val="22"/>
        </w:rPr>
        <w:t>Trusting Teams</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(2/2): Dianthus earned Great Place to Work certification with 94% of employees saying it is a great place to work, far exceeding the 57% U.S. average [3]. Company scientists describe 'a culture of innovation that is critical to high-impact success in early-stage companies.' For a biotech running multiple late-stage programs, these satisfaction scores are remarkable and suggest genuine psychological safety, mission alignment, and trust in leadership. The small team size (92 employees) running concurrent Phase 2/3 programs requires exceptional coordination and trust.</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of infinite competitive mindset. Dianthus positions claseprubart against existing complement inhibitors (Soliris/Ultomiris, Vyvgart) in terms of superior dosing convenience and differentiated mechanism, which is standard competitive framing focused on product superiority rather than learning from rivals' strengths [1]. The biotech industry generally operates in a race-to-market finite frame.</w:t>
      </w:r>
    </w:p>
    <w:p>
      <w:pPr>
        <w:spacing w:before="200" w:after="40"/>
      </w:pPr>
      <w:r>
        <w:rPr>
          <w:rFonts w:ascii="Calibri" w:hAnsi="Calibri"/>
          <w:b/>
          <w:color w:val="1A2010"/>
          <w:sz w:val="22"/>
        </w:rPr>
        <w:t>Existential Flexibility</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(0/2): Dianthus was founded in 2019 and remains in its original strategic direction — developing complement-targeted therapeutics for autoimmune diseases. The company is too young and too narrowly focused to have faced the kind of existential test Sinek describes. DNTH212 and DNTH312 represent pipeline extensions, not transformative pivots. The company has never had a profitable business to abandon in service of a larger cause.</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CEO Marino Garcia made the bold decision to pursue three concurrent late-stage clinical programs (gMG, CIDP, MMN) simultaneously rather than the safer sequential approach, committing $83.2M in R&amp;D in H1 2026 alone [1]. The company over-enrolled the MoMeNtum trial (46 vs. 36 target) to strengthen data, showing willingness to invest for long-term quality over short-term capital preservation. The $1B Leads Biolabs licensing deal represents a significant strategic bet diversifying beyond the core complement platform. However, with $887M cash, these bets are well-funded rather than truly sacrificial.</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Dianthus Therapeutics is one of the most compelling clinical-stage biotechs in autoimmune disease, with claseprubart demonstrating a 75% response rate in the first 40 CIDP patients (Phase 3 CAPTIVATE) and three concurrent late-stage programs creating multiple shots on goal [1]. The $4.9B market cap at $87.16 reflects significant pipeline potential across generalized myasthenia gravis (Phase 3 EMERGE), CIDP, and MMN — conditions affecting over 200,000 patients in the US alone. With $887M cash providing multi-year runway, the company can fund all current programs through pivotal readouts without near-term dilution. The anti-C1s mechanism offers differentiated efficacy with potentially lower infection risk versus broader complement inhibitors, and the subcutaneous formulation with infrequent dosing creates competitive advantages over Soliris/Ultomiris. The Inspire Impact Score of 33 (ALIGNED) reflects positive faith-based attributes in business ethics and patient welfare.</w:t>
      </w:r>
    </w:p>
    <w:p>
      <w:pPr>
        <w:spacing w:after="120"/>
      </w:pPr>
      <w:r>
        <w:rPr>
          <w:rFonts w:ascii="Calibri" w:hAnsi="Calibri"/>
          <w:b w:val="0"/>
          <w:color w:val="3A4A28"/>
          <w:sz w:val="20"/>
        </w:rPr>
        <w:t>The bear case is substantial for a pre-revenue biotech trading at $4.9B. Claseprubart has not yet demonstrated superiority over Alexion's established Ultomiris franchise in pivotal trials, and clinical failure would be catastrophic — the $87.16 share price prices in significant commercial success [1]. The company is burning approximately $93M annually in free cash flow with ROE of -26.1%, and clinical-stage spending typically accelerates as programs advance to Phase 3 and pre-commercial activities ramp [4]. Five concurrent clinical readouts over the next 18 months creates a binary event calendar where each readout is both opportunity and risk. The 75% CAPTIVATE response rate is from an open-label design with only 40 patients — placebo-controlled Phase 3 results could differ materially. Insider ownership of only 0.12% raises alignment concerns, and the company will eventually need to build a commercial organization from scratch ($200M+ buildout cost) while competing against Argenx (Vyvgart), Alexion (Ultomiris), and UCB in the complement/FcRn space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Phase 2 MoMeNtum results in MMN expected December 2026, providing the first placebo-controlled data for claseprubart and potentially derisking the platform across multiple indications [1]</w:t>
      </w:r>
    </w:p>
    <w:p>
      <w:pPr>
        <w:spacing w:before="40" w:after="40"/>
        <w:ind w:left="283"/>
      </w:pPr>
      <w:r>
        <w:rPr>
          <w:rFonts w:ascii="Calibri" w:hAnsi="Calibri"/>
          <w:b/>
          <w:color w:val="4A6B25"/>
          <w:sz w:val="20"/>
        </w:rPr>
        <w:t xml:space="preserve">2. </w:t>
      </w:r>
      <w:r>
        <w:rPr>
          <w:rFonts w:ascii="Calibri" w:hAnsi="Calibri"/>
          <w:b w:val="0"/>
          <w:color w:val="3A4A28"/>
          <w:sz w:val="20"/>
        </w:rPr>
        <w:t>Phase 3 CAPTIVATE Part B design guidance expected by year-end 2026, with 75% open-label response rate setting a high bar for confirmatory CIDP results</w:t>
      </w:r>
    </w:p>
    <w:p>
      <w:pPr>
        <w:spacing w:before="40" w:after="40"/>
        <w:ind w:left="283"/>
      </w:pPr>
      <w:r>
        <w:rPr>
          <w:rFonts w:ascii="Calibri" w:hAnsi="Calibri"/>
          <w:b/>
          <w:color w:val="4A6B25"/>
          <w:sz w:val="20"/>
        </w:rPr>
        <w:t xml:space="preserve">3. </w:t>
      </w:r>
      <w:r>
        <w:rPr>
          <w:rFonts w:ascii="Calibri" w:hAnsi="Calibri"/>
          <w:b w:val="0"/>
          <w:color w:val="3A4A28"/>
          <w:sz w:val="20"/>
        </w:rPr>
        <w:t>DNTH212 bifunctional fusion protein Phase 1 healthy volunteer data anticipated by year-end 2026, potentially opening Sjogren's, SLE, and dermatomyositis as additional pipeline opportunities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Pre-revenue company burning $93M annually with zero commercial infrastructure — any clinical trial failure across five upcoming readouts could trigger 50%+ decline given $4.9B market cap predicated entirely on pipeline success [1]</w:t>
      </w:r>
    </w:p>
    <w:p>
      <w:pPr>
        <w:spacing w:before="40" w:after="40"/>
        <w:ind w:left="283"/>
      </w:pPr>
      <w:r>
        <w:rPr>
          <w:rFonts w:ascii="Calibri" w:hAnsi="Calibri"/>
          <w:b/>
          <w:color w:val="4A6B25"/>
          <w:sz w:val="20"/>
        </w:rPr>
        <w:t xml:space="preserve">2. </w:t>
      </w:r>
      <w:r>
        <w:rPr>
          <w:rFonts w:ascii="Calibri" w:hAnsi="Calibri"/>
          <w:b w:val="0"/>
          <w:color w:val="3A4A28"/>
          <w:sz w:val="20"/>
        </w:rPr>
        <w:t>Phase 3 EMERGE trial in gMG (results expected 2H 2028) faces intense competition from Argenx's Vyvgart and Alexion's Ultomiris, both already approved and generating billions in revenue</w:t>
      </w:r>
    </w:p>
    <w:p>
      <w:pPr>
        <w:spacing w:before="40" w:after="40"/>
        <w:ind w:left="283"/>
      </w:pPr>
      <w:r>
        <w:rPr>
          <w:rFonts w:ascii="Calibri" w:hAnsi="Calibri"/>
          <w:b/>
          <w:color w:val="4A6B25"/>
          <w:sz w:val="20"/>
        </w:rPr>
        <w:t xml:space="preserve">3. </w:t>
      </w:r>
      <w:r>
        <w:rPr>
          <w:rFonts w:ascii="Calibri" w:hAnsi="Calibri"/>
          <w:b w:val="0"/>
          <w:color w:val="3A4A28"/>
          <w:sz w:val="20"/>
        </w:rPr>
        <w:t>Minimal insider ownership (0.12%) and stock decline from 52-week high of $117.88 to $87.16 (-26%) signals potential sentiment deterioration, while institutional ownership exceeding 100% creates volatility risk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(7/9): Biotech drug development requires extensive multi-year clinical trials, FDA regulatory approval, GMP manufacturing, and patent-protected intellectual property that AI cannot substitute [1]. Claseprubart's complement-targeted mechanism in gMG and CIDP requires human clinical validation across hundreds of patients — no AI system can replace Phase 3 regulatory data. The physical infrastructure of clinical trials (sites, investigators, patient enrollment, drug manufacturing) creates strong barriers to AI disruption. However, AI-driven drug discovery platforms could accelerate competitors' identification of alternative complement inhibitors, and AI tools may eventually compress clinical trial timelines for rivals [2]. AI Opportunity (0/1): No evidence of AI-generated revenue. The company does not sell AI-powered products or services and has not reported using AI to accelerate its own drug discovery in a revenue-generating capacity.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33</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Business Ethics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Safety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Dianthus Therapeutics Q1/Q2 2026 Financial Results — Revenue $1.9M TTM, Net Loss $40.8M Q1, EPS -$4.15, Phase 3 CAPTIVATE/EMERGE Updates, Leads Biolabs $1B Partnership, SEC 8-K Filings 2026</w:t>
      </w:r>
    </w:p>
    <w:p>
      <w:pPr>
        <w:spacing w:before="20" w:after="20"/>
        <w:ind w:left="170"/>
      </w:pPr>
      <w:r>
        <w:rPr>
          <w:rFonts w:ascii="Calibri" w:hAnsi="Calibri"/>
          <w:b/>
          <w:color w:val="4A6B25"/>
          <w:sz w:val="15"/>
        </w:rPr>
        <w:t xml:space="preserve">2. </w:t>
      </w:r>
      <w:r>
        <w:rPr>
          <w:rFonts w:ascii="Calibri" w:hAnsi="Calibri"/>
          <w:b w:val="0"/>
          <w:color w:val="3A4A28"/>
          <w:sz w:val="17"/>
        </w:rPr>
        <w:t>Dianthus Therapeutics AI Integration Risk Disclosures and Competitive Landscape — Globe and Mail, TipRanks, SEC Archives, 2025-2026</w:t>
      </w:r>
    </w:p>
    <w:p>
      <w:pPr>
        <w:spacing w:before="20" w:after="20"/>
        <w:ind w:left="170"/>
      </w:pPr>
      <w:r>
        <w:rPr>
          <w:rFonts w:ascii="Calibri" w:hAnsi="Calibri"/>
          <w:b/>
          <w:color w:val="4A6B25"/>
          <w:sz w:val="15"/>
        </w:rPr>
        <w:t xml:space="preserve">3. </w:t>
      </w:r>
      <w:r>
        <w:rPr>
          <w:rFonts w:ascii="Calibri" w:hAnsi="Calibri"/>
          <w:b w:val="0"/>
          <w:color w:val="3A4A28"/>
          <w:sz w:val="17"/>
        </w:rPr>
        <w:t>Great Place to Work — Dianthus Therapeutics 94% Employee Approval Certification, Built In Company Profile, 2026</w:t>
      </w:r>
    </w:p>
    <w:p>
      <w:pPr>
        <w:spacing w:before="20" w:after="20"/>
        <w:ind w:left="170"/>
      </w:pPr>
      <w:r>
        <w:rPr>
          <w:rFonts w:ascii="Calibri" w:hAnsi="Calibri"/>
          <w:b/>
          <w:color w:val="4A6B25"/>
          <w:sz w:val="15"/>
        </w:rPr>
        <w:t xml:space="preserve">4. </w:t>
      </w:r>
      <w:r>
        <w:rPr>
          <w:rFonts w:ascii="Calibri" w:hAnsi="Calibri"/>
          <w:b w:val="0"/>
          <w:color w:val="3A4A28"/>
          <w:sz w:val="17"/>
        </w:rPr>
        <w:t>Yahoo Finance — DNTH Key Statistics: Price $87.16, D/E 0.11%, ROE -26.1%, Market Cap $4.9B, Avg Volume 830K,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