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DOW</w:t>
      </w:r>
      <w:r>
        <w:rPr>
          <w:rFonts w:ascii="Calibri" w:hAnsi="Calibri"/>
          <w:b/>
          <w:color w:val="1A2010"/>
          <w:sz w:val="40"/>
        </w:rPr>
        <w:t xml:space="preserve">  Dow Inc.</w:t>
      </w:r>
    </w:p>
    <w:p>
      <w:pPr>
        <w:spacing w:after="120"/>
      </w:pPr>
      <w:r>
        <w:rPr>
          <w:rFonts w:ascii="Calibri" w:hAnsi="Calibri"/>
          <w:b/>
          <w:color w:val="6E8450"/>
          <w:sz w:val="18"/>
        </w:rPr>
        <w:t>DIVIDEND SLEEVE · 2026-10-08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Chemicals · NYQ · United States</w:t>
      </w:r>
    </w:p>
    <w:p>
      <w:pPr>
        <w:spacing w:after="80"/>
      </w:pPr>
      <w:r>
        <w:rPr>
          <w:rFonts w:ascii="Calibri" w:hAnsi="Calibri"/>
          <w:b w:val="0"/>
          <w:color w:val="3A4A28"/>
          <w:sz w:val="20"/>
        </w:rPr>
        <w:t>Dow Inc. is a global materials science company operating through three segments — Packaging &amp; Specialty Plastics, Industrial Intermediates &amp; Infrastructure, and Performance Materials &amp; Coatings — serving packaging, infrastructure, mobility, consumer care, and industrial markets. Karen Carter became CEO on July 1, 2026, succeeding Jim Fitterling, who remains Executive Chair. Q2 2026 delivered a cyclical inflection with revenue of $12.1B (+20% YoY), net income of $721M ($0.99/share), and operating EBITDA of $2.3B, driven by a 20% surge in polyethylene pricing, though the company cut its quarterly dividend 50% (to $0.35/share) in mid-2025 after consecutive net losses [1][2].</w:t>
      </w:r>
    </w:p>
    <w:p>
      <w:r>
        <w:rPr>
          <w:rFonts w:ascii="Calibri" w:hAnsi="Calibri"/>
          <w:b/>
          <w:color w:val="6E8450"/>
          <w:sz w:val="18"/>
        </w:rPr>
        <w:t>32,800 Employees · https://www.dow.com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Dow restarted construction on its $7.5B Path2Zero project in Fort Saskatchewan, Alberta in January 2026 after a 9-month economically-driven pause — targeted as the world's first net-zero Scope 1&amp;2 integrated ethylene cracker — but Phase 1 startup has slipped to late 2029 and Phase 2 to late 2030, reflecting execution inconsistency rather than a completed transformation [2][3]. AI Deployment (0/2): Dow showcased DOWSIL immersion-cooling fluids and thermal management materials for AI data centers at COMPUTEX Taipei 2026 and established an AI Competency Center under CIO Melanie Kalmar, but this represents commodity materials sales into the AI infrastructure buildout and internal process optimization, not AI-powered products generating quantified revenue or savings [4]. Market Share (1/2): Dow holds meaningful global share in polyethylene, silicones, and industrial intermediates but is not the definitive category leader — LyondellBasell, BASF, and SABIC compete directly, and Q2 2026 results were driven by a cyclical polyethylene price spike rather than share gains [1]. Product Pipeline (0/2): No near-term next-generation product launches with specific dates and revenue visibility beyond the delayed Path2Zero project. R&amp;D Intensity (0/1): Dow does not disclose R&amp;D spend as a differentiated growth lever; commodity chemical R&amp;D intensity trails specialty-chemical and technology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Dow's stated ambition — to be 'the most innovative, customer-centric, inclusive and sustainable materials science company in the world' — connects to a genuine decarbonization thesis through Path2Zero, but the 9-month pause of that flagship project on economic grounds undercuts the claim that purpose consistently drives strategic decisions [2][3]. Community Impact (0/2): No specific charitable programs, foundation dollar commitments, or distinctive community investment initiatives were identified in research despite Dow's 129-year Midland, Michigan heritage. Historical Bhopal/dioxin contamination liabilities remain part of the company's legacy environmental profile [5]. Employee Retention (0/2): Employee count declined from 37,031 to 32,800 through layoffs and restructuring as part of the 'Transform to Outperform' cost-savings program targeting $2B by end of 2027. Reviews cite high turnover, rigid promotion tracks, and merit increases capped near 2–3% [6]. Insider Buying (0/2): No evidence of net insider buying by new CEO Karen Carter or other executives following the July 2026 CEO transition or the 2025 dividend cut.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Dow is emerging from a commodity trough: TTM profit margin of -3.1% and ROE of -5.5% both hit the zero floor, reflecting consecutive net losses through Q1 2026 before the Q2 recovery [1]. D/E of 112% is above the 70% target but well inside the 300% floor (score 0.82). Revenue growth of 19.7% YoY cleared the 10% target (score 1.0), driven primarily by a 20% polyethylene pricing surge in Q2, while the 5-year revenue CAGR of approximately 1% remains deeply below the 10% target (score 0.4) [1]. Forward P/E of 16.1x is reasonably below the 20x target (score 1.0). On dividend metrics, the 115+ consecutive years of uninterrupted payments (despite the 2025 50% cut) score at maximum with 2x weight, but consecutive years of growth resets to 0 and the 5-year dividend CAGR is approximately -13% following the mid-2025 cut from $0.70 to $0.35/share — both flooring at zero with the CAGR carrying 2x weight [7]. Payout ratio is undefined with negative trailing earnings (score 0.0). Daily dollar volume of $254M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Dow presents itself as a long-horizon materials science company committed to decarbonization through Path2Zero, but 2025–2026 events reveal a company playing to the current cycle: the flagship net-zero project was paused for nine months on near-term economics, the dividend was cut in half, and the workforce was reduced from 37,000 to 32,800 through restructuring. New CEO Karen Carter's appointment signals continuity but arrives during maximum balance-sheet stress. These are the actions of a company managing through a commodity trough, not demonstrating Sinek's consistency of cause through adversity.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Dow's stated purpose of building a more sustainable, innovative materials science company connects to the world's-first net-zero ethylene cracker at Path2Zero, but the cause bent to short-term financial pressure when the board paused that project for nine months in 2025 before restarting in January 2026 [2][3]. Strategic decisions are driven by commodity cycle management and cost discipline rather than a resilient purpose that endures regardless of near-term conditions.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Dow reduced its workforce from approximately 37,000 to 32,800 through layoffs and restructuring as part of cost-savings programs. Employee reviews describe high turnover, rigid promotion tracks, repeated layoff rounds, and merit increases capped near 2–3% — evidence of a cost-constrained, lower-trust environment during the downcycle rather than the psychological safety Sinek's framework rewards [6].</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Dow's public commentary centers on its own cost position, self-help savings ($300M+ in Q2 2026), feedstock advantage, and the 'Transform to Outperform' restructuring program rather than acknowledging strengths of rivals like LyondellBasell, BASF, or SABIC or framing competition as a spur for self-improvement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Dow has incrementally shifted its portfolio mix toward lower-carbon derivatives and circular-plastics capabilities since the 2019 DowDuPont spinoff, and Path2Zero represents a genuine bet on a decarbonized production model [2][3]. However, this is portfolio evolution within the existing commodity chemicals business rather than a transformative pivot, and the project pause shows the bet remains reversible under financial pressure.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Recommitting $7.5B to Path2Zero and advancing the 'Transform to Outperform' initiative targeting $2B in cost savings by end of 2027 show willingness to fund long-term capability during a downturn [1][2]. However, the nine-month project pause when conditions were unfavorable, followed by a 50% dividend cut, suggests leadership optimized for near-term balance-sheet protection first and only resumed the long-term bet once commodity prices improved.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Dow at $27.77 with a $20.1B market cap is a cyclical commodity chemicals recovery play trading at 16.1x forward earnings after a brutal 2024–2025 downturn that forced a 50% dividend cut and consecutive net losses. Q2 2026 delivered a sharp inflection — revenue of $12.1B (+20% YoY), GAAP net income of $721M ($0.99/share), and operating EBITDA of $2.3B (vs. $703M a year ago) — driven by a 20% surge in polyethylene pricing and over $300M in self-help cost actions from the 'Transform to Outperform' initiative targeting $2B in total benefits by end of 2027 [1]. The $7.5B Path2Zero net-zero ethylene project in Alberta, backed by new CEO Karen Carter, provides a multi-year capacity and decarbonization narrative. At a 5.04% dividend yield with 115+ consecutive years of uninterrupted payments and $254M in daily liquidity, income-oriented investors get paid to wait for the commodity cycle to normalize [7].</w:t>
      </w:r>
    </w:p>
    <w:p>
      <w:pPr>
        <w:spacing w:after="120"/>
      </w:pPr>
      <w:r>
        <w:rPr>
          <w:rFonts w:ascii="Calibri" w:hAnsi="Calibri"/>
          <w:b w:val="0"/>
          <w:color w:val="3A4A28"/>
          <w:sz w:val="20"/>
        </w:rPr>
        <w:t>The bear case is that Dow remains a low-quality, cyclically-exposed commodity chemicals producer with negative trailing ROE (-5.5%) and profit margin (-3.1%), D/E of 112%, and a dividend recently cut in half that is not covered by trailing earnings [1]. The Q2 2026 revenue beat was driven primarily by a temporary polyethylene price surge rather than structural share gains or volume growth (volumes fell 1%), and management itself guided to margin compression in Q3 with EBITDA of $1.7B [1]. Path2Zero Phase 1 startup has slipped to late 2029, and the project's nine-month 2025 pause demonstrates the decarbonization thesis is contingent on near-term economics rather than fixed strategic commitment [2][3]. The workforce reduction from 37,000 to 32,800, combined with the CEO transition to Karen Carter during maximum balance-sheet stress, adds execution and cultural continuity risk. The 5-year revenue CAGR of approximately 1% and negative 5-year dividend growth CAGR of -13% reflect a structurally challenged growth profile for a commodity producer competing against lower-cost global capacity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polyethylene and commodity chemical pricing recovery translating Q2 2026's 20% revenue growth and $2.3B operating EBITDA into durable earnings recovery that restores dividend coverage and investor confidence [1]</w:t>
      </w:r>
    </w:p>
    <w:p>
      <w:pPr>
        <w:spacing w:before="40" w:after="40"/>
        <w:ind w:left="283"/>
      </w:pPr>
      <w:r>
        <w:rPr>
          <w:rFonts w:ascii="Calibri" w:hAnsi="Calibri"/>
          <w:b/>
          <w:color w:val="4A6B25"/>
          <w:sz w:val="20"/>
        </w:rPr>
        <w:t xml:space="preserve">2. </w:t>
      </w:r>
      <w:r>
        <w:rPr>
          <w:rFonts w:ascii="Calibri" w:hAnsi="Calibri"/>
          <w:b w:val="0"/>
          <w:color w:val="3A4A28"/>
          <w:sz w:val="20"/>
        </w:rPr>
        <w:t>Path2Zero Fort Saskatchewan Phase 1 (net-zero ethylene cracker) progressing toward late-2029 startup without further delays, positioning Dow with a structurally advantaged, lower-carbon Americas production base [2][3]</w:t>
      </w:r>
    </w:p>
    <w:p>
      <w:pPr>
        <w:spacing w:before="40" w:after="40"/>
        <w:ind w:left="283"/>
      </w:pPr>
      <w:r>
        <w:rPr>
          <w:rFonts w:ascii="Calibri" w:hAnsi="Calibri"/>
          <w:b/>
          <w:color w:val="4A6B25"/>
          <w:sz w:val="20"/>
        </w:rPr>
        <w:t xml:space="preserve">3. </w:t>
      </w:r>
      <w:r>
        <w:rPr>
          <w:rFonts w:ascii="Calibri" w:hAnsi="Calibri"/>
          <w:b w:val="0"/>
          <w:color w:val="3A4A28"/>
          <w:sz w:val="20"/>
        </w:rPr>
        <w:t>'Transform to Outperform' cost-savings program delivering on $2B target by end of 2027, with completed $1B in 2025 savings and $300M+ realized in Q2 2026 alone, structurally reducing the cost base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Negative trailing ROE (-5.5%) and profit margin (-3.1%) with the dividend cut in half and not covered by trailing earnings — a further commodity price decline would pressure the already-reduced $0.35/quarter dividend and could trigger another cut [1][7]</w:t>
      </w:r>
    </w:p>
    <w:p>
      <w:pPr>
        <w:spacing w:before="40" w:after="40"/>
        <w:ind w:left="283"/>
      </w:pPr>
      <w:r>
        <w:rPr>
          <w:rFonts w:ascii="Calibri" w:hAnsi="Calibri"/>
          <w:b/>
          <w:color w:val="4A6B25"/>
          <w:sz w:val="20"/>
        </w:rPr>
        <w:t xml:space="preserve">2. </w:t>
      </w:r>
      <w:r>
        <w:rPr>
          <w:rFonts w:ascii="Calibri" w:hAnsi="Calibri"/>
          <w:b w:val="0"/>
          <w:color w:val="3A4A28"/>
          <w:sz w:val="20"/>
        </w:rPr>
        <w:t>Path2Zero's $7.5B capital commitment during a period of net losses and reduced dividends adds balance-sheet strain (D/E 112%), and the project has already been paused once (9 months in 2025) and delayed twice (Phase 1 now late 2029, Phase 2 late 2030) [2][3]</w:t>
      </w:r>
    </w:p>
    <w:p>
      <w:pPr>
        <w:spacing w:before="40" w:after="40"/>
        <w:ind w:left="283"/>
      </w:pPr>
      <w:r>
        <w:rPr>
          <w:rFonts w:ascii="Calibri" w:hAnsi="Calibri"/>
          <w:b/>
          <w:color w:val="4A6B25"/>
          <w:sz w:val="20"/>
        </w:rPr>
        <w:t xml:space="preserve">3. </w:t>
      </w:r>
      <w:r>
        <w:rPr>
          <w:rFonts w:ascii="Calibri" w:hAnsi="Calibri"/>
          <w:b w:val="0"/>
          <w:color w:val="3A4A28"/>
          <w:sz w:val="20"/>
        </w:rPr>
        <w:t>Commodity chemicals cyclicality — the 20% polyethylene price surge behind Q2 2026's results could reverse as global capacity additions from Middle East and China come online, and Q3 EBITDA guidance of $1.7B already signals sequential margin compression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Dow's core business — manufacturing physical commodity and specialty chemicals (polyethylene, silicones, polyurethanes) — involves capital-intensive, physically regulated manufacturing that AI structurally cannot displace or automate away [1]. AI infrastructure buildout is a net demand tailwind: Dow markets DOWSIL immersion-cooling fluids and thermal management materials for AI data centers, and its AI Competency Center under CIO Melanie Kalmar drives internal process optimization [4]. Analysts have not flagged AI substitution risk for bulk or specialty chemicals production. AI Opportunity (0/1): While Dow showcased AI-data-center cooling products at COMPUTEX Taipei 2026, no specific revenue figures or percentage contribution from AI-related products were disclosed — this remains an emerging rather than quantified revenue stream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Dow Q2 2026 Earnings — Revenue $12.1B (+20% YoY), Net Income $721M ($0.99/share), Operating EBITDA $2.3B, Q3 Guidance $1.7B EBITDA — Nasdaq, Quartr, MarketBeat, July 2026</w:t>
      </w:r>
    </w:p>
    <w:p>
      <w:pPr>
        <w:spacing w:before="20" w:after="20"/>
        <w:ind w:left="170"/>
      </w:pPr>
      <w:r>
        <w:rPr>
          <w:rFonts w:ascii="Calibri" w:hAnsi="Calibri"/>
          <w:b/>
          <w:color w:val="4A6B25"/>
          <w:sz w:val="15"/>
        </w:rPr>
        <w:t xml:space="preserve">2. </w:t>
      </w:r>
      <w:r>
        <w:rPr>
          <w:rFonts w:ascii="Calibri" w:hAnsi="Calibri"/>
          <w:b w:val="0"/>
          <w:color w:val="3A4A28"/>
          <w:sz w:val="17"/>
        </w:rPr>
        <w:t>Dow Path2Zero Net-Zero Ethylene Project Restart — $7.5B Investment, Phase 1 Late 2029, Phase 2 Late 2030, 9-Month 2025 Pause — ICIS, Oil &amp; Gas Journal, January 2026</w:t>
      </w:r>
    </w:p>
    <w:p>
      <w:pPr>
        <w:spacing w:before="20" w:after="20"/>
        <w:ind w:left="170"/>
      </w:pPr>
      <w:r>
        <w:rPr>
          <w:rFonts w:ascii="Calibri" w:hAnsi="Calibri"/>
          <w:b/>
          <w:color w:val="4A6B25"/>
          <w:sz w:val="15"/>
        </w:rPr>
        <w:t xml:space="preserve">3. </w:t>
      </w:r>
      <w:r>
        <w:rPr>
          <w:rFonts w:ascii="Calibri" w:hAnsi="Calibri"/>
          <w:b w:val="0"/>
          <w:color w:val="3A4A28"/>
          <w:sz w:val="17"/>
        </w:rPr>
        <w:t>Dow Q1 2026 Earnings — Revenue $9.8B, EPS -$0.14, 'Transform to Outperform' $2B Cost Savings Target — SEC Filing, StockAnalysis, May 2026</w:t>
      </w:r>
    </w:p>
    <w:p>
      <w:pPr>
        <w:spacing w:before="20" w:after="20"/>
        <w:ind w:left="170"/>
      </w:pPr>
      <w:r>
        <w:rPr>
          <w:rFonts w:ascii="Calibri" w:hAnsi="Calibri"/>
          <w:b/>
          <w:color w:val="4A6B25"/>
          <w:sz w:val="15"/>
        </w:rPr>
        <w:t xml:space="preserve">4. </w:t>
      </w:r>
      <w:r>
        <w:rPr>
          <w:rFonts w:ascii="Calibri" w:hAnsi="Calibri"/>
          <w:b w:val="0"/>
          <w:color w:val="3A4A28"/>
          <w:sz w:val="17"/>
        </w:rPr>
        <w:t>Dow AI and Innovation — DOWSIL Immersion-Cooling Fluids at COMPUTEX Taipei 2026, AI Competency Center, CIO Melanie Kalmar — Codeium, RSC, 2025–2026</w:t>
      </w:r>
    </w:p>
    <w:p>
      <w:pPr>
        <w:spacing w:before="20" w:after="20"/>
        <w:ind w:left="170"/>
      </w:pPr>
      <w:r>
        <w:rPr>
          <w:rFonts w:ascii="Calibri" w:hAnsi="Calibri"/>
          <w:b/>
          <w:color w:val="4A6B25"/>
          <w:sz w:val="15"/>
        </w:rPr>
        <w:t xml:space="preserve">5. </w:t>
      </w:r>
      <w:r>
        <w:rPr>
          <w:rFonts w:ascii="Calibri" w:hAnsi="Calibri"/>
          <w:b w:val="0"/>
          <w:color w:val="3A4A28"/>
          <w:sz w:val="17"/>
        </w:rPr>
        <w:t>Dow ESG and Environmental Profile — Historical Bhopal/Dioxin Liabilities, Path2Zero Decarbonization, Sustainalytics Rating — SEC Filings, Sustainalytics, 2022–2026</w:t>
      </w:r>
    </w:p>
    <w:p>
      <w:pPr>
        <w:spacing w:before="20" w:after="20"/>
        <w:ind w:left="170"/>
      </w:pPr>
      <w:r>
        <w:rPr>
          <w:rFonts w:ascii="Calibri" w:hAnsi="Calibri"/>
          <w:b/>
          <w:color w:val="4A6B25"/>
          <w:sz w:val="15"/>
        </w:rPr>
        <w:t xml:space="preserve">6. </w:t>
      </w:r>
      <w:r>
        <w:rPr>
          <w:rFonts w:ascii="Calibri" w:hAnsi="Calibri"/>
          <w:b w:val="0"/>
          <w:color w:val="3A4A28"/>
          <w:sz w:val="17"/>
        </w:rPr>
        <w:t>Dow Employee Culture — Workforce Reduced from 37K to 32.8K, 'Transform to Outperform' Restructuring, Glassdoor Reviews — Fortune, Glassdoor, 2025–2026</w:t>
      </w:r>
    </w:p>
    <w:p>
      <w:pPr>
        <w:spacing w:before="20" w:after="20"/>
        <w:ind w:left="170"/>
      </w:pPr>
      <w:r>
        <w:rPr>
          <w:rFonts w:ascii="Calibri" w:hAnsi="Calibri"/>
          <w:b/>
          <w:color w:val="4A6B25"/>
          <w:sz w:val="15"/>
        </w:rPr>
        <w:t xml:space="preserve">7. </w:t>
      </w:r>
      <w:r>
        <w:rPr>
          <w:rFonts w:ascii="Calibri" w:hAnsi="Calibri"/>
          <w:b w:val="0"/>
          <w:color w:val="3A4A28"/>
          <w:sz w:val="17"/>
        </w:rPr>
        <w:t>Dow Dividend History — 115+ Consecutive Years of Payment, 50% Cut from $0.70 to $0.35/Quarter in Mid-2025, Current Yield 5.04% — DividendMax, PR Newswire,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