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DRI</w:t>
      </w:r>
      <w:r>
        <w:rPr>
          <w:rFonts w:ascii="Calibri" w:hAnsi="Calibri"/>
          <w:b/>
          <w:color w:val="1A2010"/>
          <w:sz w:val="40"/>
        </w:rPr>
        <w:t xml:space="preserve">  Darden Restaurants, Inc.</w:t>
      </w:r>
    </w:p>
    <w:p>
      <w:pPr>
        <w:spacing w:after="120"/>
      </w:pPr>
      <w:r>
        <w:rPr>
          <w:rFonts w:ascii="Calibri" w:hAnsi="Calibri"/>
          <w:b/>
          <w:color w:val="6E8450"/>
          <w:sz w:val="18"/>
        </w:rPr>
        <w:t>DIVIDEND SLEEVE · 2026-09-17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United States</w:t>
      </w:r>
    </w:p>
    <w:p>
      <w:pPr>
        <w:spacing w:after="80"/>
      </w:pPr>
      <w:r>
        <w:rPr>
          <w:rFonts w:ascii="Calibri" w:hAnsi="Calibri"/>
          <w:b w:val="0"/>
          <w:color w:val="3A4A28"/>
          <w:sz w:val="20"/>
        </w:rPr>
        <w:t>Darden Restaurants owns and operates full-service restaurant brands including Olive Garden, LongHorn Steakhouse, Cheddar's Scratch Kitchen, Chuy's, Yard House, Ruth's Chris Steak House, The Capital Grille, Seasons 52, Eddie V's Prime Seafood, and Bahama Breeze across the U.S. and Canada. Founded in 1938 and headquartered in Orlando, Florida, Darden reported fiscal 2026 revenue of $13.2B, up 9.4% year-over-year, led by same-restaurant sales strength at Olive Garden and LongHorn Steakhouse.</w:t>
      </w:r>
    </w:p>
    <w:p>
      <w:r>
        <w:rPr>
          <w:rFonts w:ascii="Calibri" w:hAnsi="Calibri"/>
          <w:b/>
          <w:color w:val="6E8450"/>
          <w:sz w:val="18"/>
        </w:rPr>
        <w:t>209,931 Employees · https://www.darden.com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Darden has expanded its portfolio through the 2023 acquisition of Ruth's Chris Steak House and continued integration of Chuy's Tex-Mex, alongside sustained digital/off-premise ordering growth — a meaningful multi-brand expansion strategy, if not a full business-model transformation [1]. AI Deployment (1/2): No specific AI-shipped products or quantified AI-driven savings were identified in current research; deployment appears limited to labor-scheduling and guest-personalization tools without disclosed dollar impact. Market Share (2/2): LongHorn Steakhouse posted a standout 9.5% same-restaurant sales increase in Q4 FY2026 and Olive Garden grew 2.4-4.7% across recent quarters, both gaining share as smaller casual-dining peers struggle [1]. Product Pipeline (1/2): Fiscal 2026 guidance calls for 60-65 new restaurant openings and continued steakhouse remodels, a steady but incremental expansion plan rather than a named breakthrough concept [1]. R&amp;D Intensity (1/1): Ongoing culinary and format innovation (Chuy's, Yard House test markets) is consistent with at-or-above industry-average reinvestment for a multi-brand operator.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Darden's stated purpose — 'to be the best in the business of restaurants, now and for generations' — is clear about what the company does but reads as standard corporate language rather than a distinctive, transformative cause. Community Impact (2/2): The Darden Foundation's Darden Harvest program has donated tens of millions of pounds of surplus food to hunger-relief organizations, a distinctive and quantifiable community investment. Employee Retention (1/2): CEO Rick Cardenas began as a busser 35 years ago and Darden's internal 'Dream Sheet' program helps employees plan long-term career paths, suggesting a genuine promote-from-within culture, though no hard turnover data was found [4]. Insider Buying (0/2): No evidence of meaningful net insider buying in the past 12 months. This is tempered by a documented history of wage-and-hour and tipped-wage discrimination lawsuits, including a 2021 One Fair Wage suit alleging Darden's subminimum-wage tip policy disproportionately harmed women and workers of color at Capital Grille locations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the Dividend-sleeve formula (Consecutive Years Paid and 5yr Dividend Growth CAGR at 2x weight). Darden clears virtually every core metric target: ROE of 53.7% is far above the 15% target (score 1.0), revenue grew 9.4% YoY to $13.2B and roughly 8% on a 3-year CAGR basis versus the 10% target (scores 0.98 and 0.87), and Forward P/E of 16.8 is below the 20 target (score 1.0) [1][6]. On the dividend side, 32 consecutive years of payments (score 1.0, 2x weight) and a roughly 7.5% 5-year dividend growth CAGR — including an 8.0% raise in 2026, 7.1% in 2025, and 6.9% in 2024 — exceed the 6% target (score 1.0, 2x weight), while 6 consecutive years of increases is a moderate 0.6 [2][3]. The two soft spots are D/E of 365%, far above the 70% target (score 0.0, reflecting heavy lease/debt-funded real estate and buybacks), and profit margin of 9.1%, under half the 20% target (score 0.46). Daily dollar volume of roughly $273M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Darden runs an operationally excellent, multi-brand portfolio with a genuine promote-from-within culture, but its stated purpose is closer to a business platitude than a Just Cause, its competitive language centers on beating peers on same-restaurant sales, and a recurring pattern of wage-and-hour litigation at premium brands undercuts the trust narrative.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Darden's mission 'to be the best in the business of restaurants' is a business-performance statement rather than a service-oriented cause that invites broader participation or describes a future state beyond the company's own success.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promote-from-within 'Dream Sheet' culture and Cardenas's own busser-to-CEO story are genuine positives, but repeated wage-theft and tipped-wage discrimination lawsuits at Capital Grille locations point to uneven trust and treatment across the organization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Earnings commentary emphasizes same-restaurant sales outperformance and share gains against casual-dining peers rather than framing competitors as sources of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Darden has reshaped its portfolio through acquisitions (Ruth's Chris, Chuy's) and prior divestitures (Red Lobster in 2014), showing real adaptability, though it remains fundamentally a multi-brand casual/fine dining operator rather than having undergone a business-model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Continued capital allocation toward acquisitions and remodels during a softer casual-dining backdrop shows some willingness to invest through cycles, though these are largely conventional growth moves rather than principled sacrifices of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Darden is executing well across its portfolio, with fiscal 2026 revenue up 9.4% to $13.2B, LongHorn Steakhouse same-restaurant sales up 9.5% in Q4, and Olive Garden continuing to take share from smaller casual-dining operators [1]. The company just raised its dividend 8% (a sixth straight year of increases) and authorized a new $1.5B buyback, reflecting confident free cash flow generation and a shareholder-friendly capital allocation policy backed by 32 consecutive years of uninterrupted dividend payments [2][3].</w:t>
      </w:r>
    </w:p>
    <w:p>
      <w:pPr>
        <w:spacing w:after="120"/>
      </w:pPr>
      <w:r>
        <w:rPr>
          <w:rFonts w:ascii="Calibri" w:hAnsi="Calibri"/>
          <w:b w:val="0"/>
          <w:color w:val="3A4A28"/>
          <w:sz w:val="20"/>
        </w:rPr>
        <w:t>The bear case centers on valuation support and structural risk: D/E of 365% (largely lease-related) leaves limited balance-sheet flexibility if same-restaurant sales momentum reverses, and profit margin of 9.1% is thin for a company trading near 20x trailing earnings [6]. A recurring pattern of wage-and-hour and tipped-wage discrimination litigation at premium brands like Capital Grille creates ongoing legal and reputational risk, and casual dining remains structurally exposed to any pullback in discretionary consumer spending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LongHorn Steakhouse same-restaurant sales momentum (+9.5% in Q4 FY2026) continuing to outpace the casual-dining category</w:t>
      </w:r>
    </w:p>
    <w:p>
      <w:pPr>
        <w:spacing w:before="40" w:after="40"/>
        <w:ind w:left="283"/>
      </w:pPr>
      <w:r>
        <w:rPr>
          <w:rFonts w:ascii="Calibri" w:hAnsi="Calibri"/>
          <w:b/>
          <w:color w:val="4A6B25"/>
          <w:sz w:val="20"/>
        </w:rPr>
        <w:t xml:space="preserve">2. </w:t>
      </w:r>
      <w:r>
        <w:rPr>
          <w:rFonts w:ascii="Calibri" w:hAnsi="Calibri"/>
          <w:b w:val="0"/>
          <w:color w:val="3A4A28"/>
          <w:sz w:val="20"/>
        </w:rPr>
        <w:t>Fiscal 2026 total sales growth guided up to 8.5-9.3%, with 60-65 new restaurant openings planned to sustain unit growth</w:t>
      </w:r>
    </w:p>
    <w:p>
      <w:pPr>
        <w:spacing w:before="40" w:after="40"/>
        <w:ind w:left="283"/>
      </w:pPr>
      <w:r>
        <w:rPr>
          <w:rFonts w:ascii="Calibri" w:hAnsi="Calibri"/>
          <w:b/>
          <w:color w:val="4A6B25"/>
          <w:sz w:val="20"/>
        </w:rPr>
        <w:t xml:space="preserve">3. </w:t>
      </w:r>
      <w:r>
        <w:rPr>
          <w:rFonts w:ascii="Calibri" w:hAnsi="Calibri"/>
          <w:b w:val="0"/>
          <w:color w:val="3A4A28"/>
          <w:sz w:val="20"/>
        </w:rPr>
        <w:t>New $1.5B share repurchase authorization alongside a sixth consecutive annual dividend increase signaling confidence in free cash flow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High D/E (365%) driven by lease obligations and buyback-funded capital structure limits flexibility in a sales downturn</w:t>
      </w:r>
    </w:p>
    <w:p>
      <w:pPr>
        <w:spacing w:before="40" w:after="40"/>
        <w:ind w:left="283"/>
      </w:pPr>
      <w:r>
        <w:rPr>
          <w:rFonts w:ascii="Calibri" w:hAnsi="Calibri"/>
          <w:b/>
          <w:color w:val="4A6B25"/>
          <w:sz w:val="20"/>
        </w:rPr>
        <w:t xml:space="preserve">2. </w:t>
      </w:r>
      <w:r>
        <w:rPr>
          <w:rFonts w:ascii="Calibri" w:hAnsi="Calibri"/>
          <w:b w:val="0"/>
          <w:color w:val="3A4A28"/>
          <w:sz w:val="20"/>
        </w:rPr>
        <w:t>Recurring wage-and-hour and tipped-wage discrimination litigation at Capital Grille and other premium brands creates legal/reputational overhang [5]</w:t>
      </w:r>
    </w:p>
    <w:p>
      <w:pPr>
        <w:spacing w:before="40" w:after="40"/>
        <w:ind w:left="283"/>
      </w:pPr>
      <w:r>
        <w:rPr>
          <w:rFonts w:ascii="Calibri" w:hAnsi="Calibri"/>
          <w:b/>
          <w:color w:val="4A6B25"/>
          <w:sz w:val="20"/>
        </w:rPr>
        <w:t xml:space="preserve">3. </w:t>
      </w:r>
      <w:r>
        <w:rPr>
          <w:rFonts w:ascii="Calibri" w:hAnsi="Calibri"/>
          <w:b w:val="0"/>
          <w:color w:val="3A4A28"/>
          <w:sz w:val="20"/>
        </w:rPr>
        <w:t>Casual and fine dining remain discretionary spending categories exposed to a consumer pullback if labor markets weaken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Full-service, in-person dining is a physical hospitality experience that AI cannot directly substitute, and Darden's brands compete on service, ambiance, and food quality rather than commoditized transactions — a meaningful structural moat. That said, back-of-house functions (labor scheduling, drive-thru/phone ordering, menu personalization) face real efficiency pressure from AI tools that could reshape restaurant-level labor models over time, and no quantified AI revenue contribution was identified, keeping this in the moderate rather than immune tier.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Darden Restaurants Fiscal 2026 Fourth Quarter and Full Year Results press release, investor.darden.com, June 2026</w:t>
      </w:r>
    </w:p>
    <w:p>
      <w:pPr>
        <w:spacing w:before="20" w:after="20"/>
        <w:ind w:left="170"/>
      </w:pPr>
      <w:r>
        <w:rPr>
          <w:rFonts w:ascii="Calibri" w:hAnsi="Calibri"/>
          <w:b/>
          <w:color w:val="4A6B25"/>
          <w:sz w:val="15"/>
        </w:rPr>
        <w:t xml:space="preserve">2. </w:t>
      </w:r>
      <w:r>
        <w:rPr>
          <w:rFonts w:ascii="Calibri" w:hAnsi="Calibri"/>
          <w:b w:val="0"/>
          <w:color w:val="3A4A28"/>
          <w:sz w:val="17"/>
        </w:rPr>
        <w:t>Darden Restaurants Fiscal 2026 Third Quarter Results / dividend increase press release, investor.darden.com, March 2026</w:t>
      </w:r>
    </w:p>
    <w:p>
      <w:pPr>
        <w:spacing w:before="20" w:after="20"/>
        <w:ind w:left="170"/>
      </w:pPr>
      <w:r>
        <w:rPr>
          <w:rFonts w:ascii="Calibri" w:hAnsi="Calibri"/>
          <w:b/>
          <w:color w:val="4A6B25"/>
          <w:sz w:val="15"/>
        </w:rPr>
        <w:t xml:space="preserve">3. </w:t>
      </w:r>
      <w:r>
        <w:rPr>
          <w:rFonts w:ascii="Calibri" w:hAnsi="Calibri"/>
          <w:b w:val="0"/>
          <w:color w:val="3A4A28"/>
          <w:sz w:val="17"/>
        </w:rPr>
        <w:t>Darden Restaurants dividend history, MacroTrends and DividendTrackRecords.com, 2026</w:t>
      </w:r>
    </w:p>
    <w:p>
      <w:pPr>
        <w:spacing w:before="20" w:after="20"/>
        <w:ind w:left="170"/>
      </w:pPr>
      <w:r>
        <w:rPr>
          <w:rFonts w:ascii="Calibri" w:hAnsi="Calibri"/>
          <w:b/>
          <w:color w:val="4A6B25"/>
          <w:sz w:val="15"/>
        </w:rPr>
        <w:t xml:space="preserve">4. </w:t>
      </w:r>
      <w:r>
        <w:rPr>
          <w:rFonts w:ascii="Calibri" w:hAnsi="Calibri"/>
          <w:b w:val="0"/>
          <w:color w:val="3A4A28"/>
          <w:sz w:val="17"/>
        </w:rPr>
        <w:t>"From busser to C-suite: Darden Restaurants president shares stories and advice," USF Conversation with a CEO, March 2026</w:t>
      </w:r>
    </w:p>
    <w:p>
      <w:pPr>
        <w:spacing w:before="20" w:after="20"/>
        <w:ind w:left="170"/>
      </w:pPr>
      <w:r>
        <w:rPr>
          <w:rFonts w:ascii="Calibri" w:hAnsi="Calibri"/>
          <w:b/>
          <w:color w:val="4A6B25"/>
          <w:sz w:val="15"/>
        </w:rPr>
        <w:t xml:space="preserve">5. </w:t>
      </w:r>
      <w:r>
        <w:rPr>
          <w:rFonts w:ascii="Calibri" w:hAnsi="Calibri"/>
          <w:b w:val="0"/>
          <w:color w:val="3A4A28"/>
          <w:sz w:val="17"/>
        </w:rPr>
        <w:t>Corporate Research Project — Darden Restaurants labor lawsuit history; One Fair Wage lawsuit filing, April 2021</w:t>
      </w:r>
    </w:p>
    <w:p>
      <w:pPr>
        <w:spacing w:before="20" w:after="20"/>
        <w:ind w:left="170"/>
      </w:pPr>
      <w:r>
        <w:rPr>
          <w:rFonts w:ascii="Calibri" w:hAnsi="Calibri"/>
          <w:b/>
          <w:color w:val="4A6B25"/>
          <w:sz w:val="15"/>
        </w:rPr>
        <w:t xml:space="preserve">6. </w:t>
      </w:r>
      <w:r>
        <w:rPr>
          <w:rFonts w:ascii="Calibri" w:hAnsi="Calibri"/>
          <w:b w:val="0"/>
          <w:color w:val="3A4A28"/>
          <w:sz w:val="17"/>
        </w:rPr>
        <w:t>Yahoo Finance — DRI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