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DUOT</w:t>
      </w:r>
      <w:r>
        <w:rPr>
          <w:rFonts w:ascii="Calibri" w:hAnsi="Calibri"/>
          <w:b/>
          <w:color w:val="1A2010"/>
          <w:sz w:val="40"/>
        </w:rPr>
        <w:t xml:space="preserve">  Duos Technologies Group,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56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Application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Jacksonville, FL company that divested its rail inspection business and now builds Edge AI data centers and colocation through Duos Edge AI.</w:t>
      </w:r>
    </w:p>
    <w:p>
      <w:r>
        <w:rPr>
          <w:rFonts w:ascii="Calibri" w:hAnsi="Calibri"/>
          <w:b/>
          <w:color w:val="6E8450"/>
          <w:sz w:val="18"/>
        </w:rPr>
        <w:t>https://www.duostechnologies.com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2/3: divested the rail business to pivot to Edge data centers, opening a new revenue stream [1]. AI 2/2: Duos Edge AI shipping edge compute with Technology Solutions revenue of $3.23M in Q2 and gross margin up to 55.8% from 37.3%. Share 0/2 (small player), pipeline 2/2 (five-year, 55 MW Axe Compute colocation worth $111M; $43.5M backlog; &gt;$70M exit ARR target), R&amp;D 0/1.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2/4: clear Edge AI infrastructure purpose under CEO Doug Recker (since April 2026) [2], not distinctive. Community 0/2, retention 0/2, insider buying 0/2: no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mechanically (Growth sleeve). D/E 0.5%, ROE 36% (2x), revenue growth 29.5%, forward P/E 17.8 and profit margin 150% all hit targets for 1.0; 5yr CAGR and PEG unavailable and excluded. Weighted 6.0 of 6 gives 10. Note the margin and ROE are inflated by the rail divestiture gain; liquidity floor clear at about $8.3M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Duos shows real existential flexibility but the cause and culture are unproven; the pivot is early.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bringing compute to underserved edge markets is distinctive but recent, with the company reinventing itself within a year.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Glassdoor 2.9/5 with 51% CEO approval and a new CEO suggest average, not high, trust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rival-learning language.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abandoned its core rail inspection business for data center infrastructure, a fundamental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(1/2): exited the established rail business to focus on a capital-intensive new strategy, with the first positive operating quarter only in Q2 2026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Bull case: Q2 2026 revenue rose 30% to $6.18M, gross profit up 94% to $3.45M, and the company reconfirmed &gt;$50M 2026 revenue with $112.3M cash and a $43.5M backlog [1]. The $111M Axe Compute colocation and a &gt;$70M Q4 exit run rate at &gt;70% gross margin would transform scale.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Bear case: Q2 revenue missed estimates, operating income was just $0.05M, and the 150% profit margin reflects a one-time divestiture gain. Reaching &gt;$50M from $6.2M quarterly revenue requires heavy execution, customer concentration with Axe Compute is high, and Glassdoor is 2.9/5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Execution on the Axe Compute 55 MW five-year colocation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GPU-as-a-service revenue ramp toward &gt;$70M exit ARR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Deploying the $112.3M cash into Edge AI sites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Guidance of &gt;$50M for 2026 requires steep H2 acceleration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Tenant and GPU-as-a-service concentration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New CEO and strategy transition with thin operating profit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7/9: Edge colocation is physical, power-constrained infrastructure that benefits from AI workload growth, though GPU-as-a-service economics and tenant concentration (Axe Compute) are risks [1]. AI Opportunity 1/1: Technology Solutions revenue of $3.23M and GPU-as-a-service contributions expected in the &gt;$50M 2026 guide.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Duos Technologies Q2 2026 results, Yahoo Finance / Stock Titan,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Duos Technologies executive team and Glassdoor,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