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723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Calibri" w:hAnsi="Calibri"/>
          <w:b/>
          <w:color w:val="4A6B25"/>
          <w:sz w:val="56"/>
        </w:rPr>
        <w:t>DVLT</w:t>
      </w:r>
      <w:r>
        <w:rPr>
          <w:rFonts w:ascii="Calibri" w:hAnsi="Calibri"/>
          <w:b/>
          <w:color w:val="1A2010"/>
          <w:sz w:val="40"/>
        </w:rPr>
        <w:t xml:space="preserve">  Datavault AI Inc.</w:t>
      </w:r>
    </w:p>
    <w:p>
      <w:pPr>
        <w:spacing w:after="120"/>
      </w:pPr>
      <w:r>
        <w:rPr>
          <w:rFonts w:ascii="Calibri" w:hAnsi="Calibri"/>
          <w:b/>
          <w:color w:val="6E8450"/>
          <w:sz w:val="18"/>
        </w:rPr>
        <w:t>GROWTH SLEEVE · 2026-10-03 · Inspire: 0 · FINITE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200" w:type="dxa"/>
      </w:tblPr>
      <w:tblGrid>
        <w:gridCol w:w="10800"/>
      </w:tblGrid>
      <w:tr>
        <w:tc>
          <w:tcPr>
            <w:tcW w:type="dxa" w:w="10800"/>
            <w:shd w:fill="FFEBEE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DC2626"/>
                <w:sz w:val="20"/>
              </w:rPr>
              <w:t>SELL</w:t>
            </w:r>
          </w:p>
        </w:tc>
      </w:tr>
    </w:tbl>
    <w:p>
      <w:pPr>
        <w:spacing w:before="120" w:after="200"/>
      </w:pPr>
      <w:r>
        <w:rPr>
          <w:rFonts w:ascii="Calibri" w:hAnsi="Calibri"/>
          <w:b/>
          <w:color w:val="1A2010"/>
          <w:sz w:val="80"/>
        </w:rPr>
        <w:t>23</w:t>
      </w:r>
      <w:r>
        <w:rPr>
          <w:rFonts w:ascii="Calibri" w:hAnsi="Calibri"/>
          <w:b w:val="0"/>
          <w:color w:val="9DAF88"/>
          <w:sz w:val="28"/>
        </w:rPr>
        <w:t xml:space="preserve"> / </w:t>
      </w:r>
      <w:r>
        <w:rPr>
          <w:rFonts w:ascii="Calibri" w:hAnsi="Calibri"/>
          <w:b w:val="0"/>
          <w:color w:val="9DAF88"/>
          <w:sz w:val="24"/>
        </w:rPr>
        <w:t>100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COMPANY PROFILE</w:t>
            </w:r>
          </w:p>
        </w:tc>
      </w:tr>
    </w:tbl>
    <w:p>
      <w:r>
        <w:rPr>
          <w:rFonts w:ascii="Calibri" w:hAnsi="Calibri"/>
          <w:b/>
          <w:color w:val="6E8450"/>
          <w:sz w:val="18"/>
        </w:rPr>
        <w:t>Technology · Software - Infrastructure · NASDAQ · United States</w:t>
      </w:r>
    </w:p>
    <w:p>
      <w:pPr>
        <w:spacing w:after="80"/>
      </w:pPr>
      <w:r>
        <w:rPr>
          <w:rFonts w:ascii="Calibri" w:hAnsi="Calibri"/>
          <w:b w:val="0"/>
          <w:color w:val="3A4A28"/>
          <w:sz w:val="20"/>
        </w:rPr>
        <w:t>Datavault AI offers data tokenization, monetization and IP licensing platforms, expanded through acquisitions (CSI, API Media). Q2 2026 revenue was $6.72M (+287% YoY) against a net loss of $88M.</w:t>
      </w:r>
    </w:p>
    <w:p>
      <w:r>
        <w:rPr>
          <w:rFonts w:ascii="Calibri" w:hAnsi="Calibri"/>
          <w:b/>
          <w:color w:val="6E8450"/>
          <w:sz w:val="18"/>
        </w:rPr>
        <w:t>https://www.datavaultsite.com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EXCELLENCE EVALUATION — THINK LIKE AN OWNER (50%)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Innovation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Track Record (1/3): Repositioned toward tokenization and data monetization, still early. AI Deployment (1/2): AI and tokenization products announced, but no quantified savings. Market Share (0/2): No category leadership. Pipeline (1/2): $200M 2026 revenue target is stated but contrasts with Q1-Q2 revenue of just $10.1M combined [1]. R&amp;D Intensity (0/1): No evidence of above-peer R&amp;D.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Inspiration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1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1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961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Mission Floor (1/4): Generic data-monetization positioning. Community (0/2), Employee Retention (0/2): Glassdoor describes a culture of confusion, fear and retaliation [2]. Insider Buying (0/2): No net insider buying evidence found.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Infrastructure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205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30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Growth sleeve, mechanical. D/E 3.9% (1.0), ROE -108% (0.0, 2x), revenue growth 287% (1.0), profit margin deeply negative (0.0). Forward P/E 1.1 from yfinance judged unreliable given an $88M quarterly loss and excluded; 5yr CAGR and PEG unavailable. Weighted 2.0 of 5 gives 4. Dollar volume of about $6M clears the liquidity floor [1].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FINITE VS INFINITE GAME — SINEK (25%)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Mindset: </w:t>
      </w:r>
      <w:r>
        <w:rPr>
          <w:rFonts w:ascii="Calibri" w:hAnsi="Calibri"/>
          <w:b/>
          <w:color w:val="DC2626"/>
          <w:sz w:val="22"/>
        </w:rPr>
        <w:t>FINITE</w:t>
      </w:r>
      <w:r>
        <w:rPr>
          <w:rFonts w:ascii="Calibri" w:hAnsi="Calibri"/>
          <w:b w:val="0"/>
          <w:color w:val="6E8450"/>
          <w:sz w:val="22"/>
        </w:rPr>
        <w:t xml:space="preserve">      Overall: </w:t>
      </w:r>
      <w:r>
        <w:rPr>
          <w:rFonts w:ascii="Calibri" w:hAnsi="Calibri"/>
          <w:b/>
          <w:color w:val="DC2626"/>
          <w:sz w:val="28"/>
        </w:rPr>
        <w:t>1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p>
      <w:pPr>
        <w:spacing w:after="120"/>
      </w:pPr>
      <w:r>
        <w:rPr>
          <w:rFonts w:ascii="Calibri" w:hAnsi="Calibri"/>
          <w:b w:val="0"/>
          <w:color w:val="3A4A28"/>
          <w:sz w:val="18"/>
        </w:rPr>
        <w:t>Datavault AI chases quarter-to-quarter narrative with aggressive revenue targets, serial acquisitions and an unstable organization, which is the finite pattern Sinek warns against.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Just Cause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1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1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961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Just Cause (0/3): No articulated cause beyond data monetization and growth [1].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Trusting Teams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Trusting Teams (0/2): Glassdoor cites fear, retaliation and reactive leadership [2].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Worthy Rivals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Worthy Rivals (0/1): No evidence of an infinite competitive mindset.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Existential Flexibility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Existential Flexibility (1/2): Has changed business model repeatedly, though not clearly in service of a cause [1].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Courage To Lead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Courage to Lead (0/2): No costly principled decisions; a $200M target was reiterated against a Q2 revenue miss [1].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INVESTMENT THESIS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Datavault AI is growing revenue quickly from a tiny base ($6.72M in Q2 2026, +287%) via acquisitions and patent license sales, and management targets $200M for 2026 [1]. D/E is just 3.9% and the tokenization platform gives optionality if partner deals convert.</w:t>
      </w:r>
    </w:p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The bear case is severe: Q2 net loss was $88M against $2.9M gross profit and $29.3M opex, and the Q2 revenue miss weighed on shares against a $200M target that needs about $190M over the remaining two quarters [1]. At $0.15 with 40M daily shares, dilution and Nasdaq listing risk are high, and Glassdoor reports a fear-driven culture [2]. The Inspire score of 0 is uninformative.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CATALYSTS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Closing partner tokenization and data-monetization deals to approach the $200M target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Contribution from acquired CSI and API Media revenue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Patent licensing sales continuing to scale [1]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DC2626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RISKS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Net loss of $88M in Q2 2026 on $6.7M revenue; dilution and financing dependence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Revenue target credibility: $10.1M in H1 against $200M goal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Leadership instability and fear-based culture reports [2]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AI RESILIENCE (25%)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AI Resilience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HIGH RISK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AI Risk Protection (3/9): A micro-cap in data and software tokenization faces competition from larger platforms and AI tools; growth is acquisition-driven and unproven [1]. AI Opportunity (0/1): Reported revenue stems mainly from acquisitions and patent licensing, not demonstrated AI products.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FAITH ALIGNMENT — INSPIRE INSIGHT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Inspire Impact Score:  </w:t>
      </w:r>
      <w:r>
        <w:rPr>
          <w:rFonts w:ascii="Calibri" w:hAnsi="Calibri"/>
          <w:b/>
          <w:color w:val="16A34A"/>
          <w:sz w:val="28"/>
        </w:rPr>
        <w:t>0</w:t>
      </w:r>
      <w:r>
        <w:rPr>
          <w:rFonts w:ascii="Calibri" w:hAnsi="Calibri"/>
          <w:b/>
          <w:color w:val="B8860B"/>
          <w:sz w:val="20"/>
        </w:rPr>
        <w:t xml:space="preserve">    MIXED</w:t>
      </w:r>
    </w:p>
    <w:p>
      <w:pPr>
        <w:spacing w:before="120"/>
      </w:pPr>
      <w:r>
        <w:rPr>
          <w:rFonts w:ascii="Calibri" w:hAnsi="Calibri"/>
          <w:b w:val="0"/>
          <w:color w:val="9DAF88"/>
          <w:sz w:val="15"/>
        </w:rPr>
        <w:t>Source: Inspire Insight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RESOURCES</w:t>
            </w:r>
          </w:p>
        </w:tc>
      </w:tr>
    </w:tbl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1. </w:t>
      </w:r>
      <w:r>
        <w:rPr>
          <w:rFonts w:ascii="Calibri" w:hAnsi="Calibri"/>
          <w:b w:val="0"/>
          <w:color w:val="3A4A28"/>
          <w:sz w:val="17"/>
        </w:rPr>
        <w:t>Datavault AI Q1 and Q2 2026 results, Nasdaq/StockTitan/Investing.com,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2. </w:t>
      </w:r>
      <w:r>
        <w:rPr>
          <w:rFonts w:ascii="Calibri" w:hAnsi="Calibri"/>
          <w:b w:val="0"/>
          <w:color w:val="3A4A28"/>
          <w:sz w:val="17"/>
        </w:rPr>
        <w:t>Glassdoor DataVault reviews; Simply Wall St management analysis, 2026</w:t>
      </w:r>
    </w:p>
    <w:p>
      <w:pPr>
        <w:spacing w:before="400"/>
        <w:jc w:val="center"/>
      </w:pPr>
      <w:r>
        <w:rPr>
          <w:rFonts w:ascii="Calibri" w:hAnsi="Calibri"/>
          <w:b w:val="0"/>
          <w:color w:val="9DAF88"/>
          <w:sz w:val="16"/>
        </w:rPr>
        <w:t>Paradiem, LLC dba Intentional Ownership (“IOWN”) is a registered investment advisor. The information provided is for educational and informational purposes only and does not constitute investment advice.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