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DVN</w:t>
      </w:r>
      <w:r>
        <w:rPr>
          <w:rFonts w:ascii="Calibri" w:hAnsi="Calibri"/>
          <w:b/>
          <w:color w:val="1A2010"/>
          <w:sz w:val="40"/>
        </w:rPr>
        <w:t xml:space="preserve">  Devon Energy Corporation</w:t>
      </w:r>
    </w:p>
    <w:p>
      <w:pPr>
        <w:spacing w:after="120"/>
      </w:pPr>
      <w:r>
        <w:rPr>
          <w:rFonts w:ascii="Calibri" w:hAnsi="Calibri"/>
          <w:b/>
          <w:color w:val="6E8450"/>
          <w:sz w:val="18"/>
        </w:rPr>
        <w:t>DIVIDEND SLEEVE · 2026-10-08 · Inspire: 47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NYQ · United States</w:t>
      </w:r>
    </w:p>
    <w:p>
      <w:pPr>
        <w:spacing w:after="80"/>
      </w:pPr>
      <w:r>
        <w:rPr>
          <w:rFonts w:ascii="Calibri" w:hAnsi="Calibri"/>
          <w:b w:val="0"/>
          <w:color w:val="3A4A28"/>
          <w:sz w:val="20"/>
        </w:rPr>
        <w:t>Devon Energy is a leading U.S. independent oil and gas exploration and production company with core operations in the Permian, Anadarko, Eagle Ford, Bakken, and Powder River basins. On May 7, 2026, Devon closed its merger with Coterra Energy in just 94 days from announcement, creating a combined shale producer targeting $1B in annual pre-tax synergies by end of 2027. Q2 2026 delivered revenue of $7.42B (+73% YoY), net income of $1.9B, adjusted EPS of $1.57 (beating $1.30 estimate), and oil production at the top of guidance at 503 Mbbl/d. CEO Clay Gaspar is leading integration and a company-wide 'third wave' of AI deployment [1][2].</w:t>
      </w:r>
    </w:p>
    <w:p>
      <w:r>
        <w:rPr>
          <w:rFonts w:ascii="Calibri" w:hAnsi="Calibri"/>
          <w:b/>
          <w:color w:val="6E8450"/>
          <w:sz w:val="18"/>
        </w:rPr>
        <w:t>4,400 Employees · https://www.devonenergy.com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Devon closed its merger with Coterra Energy on May 7, 2026 — only 94 days after announcement — creating a top-tier shale producer with over 350 identified synergy initiatives tracking toward a $1B annual pre-tax synergy target by year-end 2027, a genuinely transformative consolidation [1][2]. AI Deployment (2/2): Devon has quantified, operational AI tools — its ChatDVN internal platform has been running for approximately three years with over half of employees using it daily, reporting 15–30% productivity improvements among engineers, geoscientists, and software developers [3]. CEO Gaspar describes the company entering a 'third wave' of AI where agents optimize well design, sequence completions, and predict pre-drill well performance basin-wide, with AI-driven super-lateral drilling analytics explicitly contributing to the $1B synergy target [3]. Market Share (1/2): The Coterra combination creates one of the largest independent U.S. shale producers by scale, but Devon remains behind supermajors and larger independents in absolute market share. Product Pipeline (1/2): The 350+ initiative synergy roadmap with a specific $1B/2027 target provides unusual visibility for an E&amp;P company, though this is integration execution rather than new product launches [2]. R&amp;D Intensity (1/1): Devon's proprietary AI platform investment (ChatDVN, InnDrill, InnFrac, AI agents for well design) reflects above-average technology spend relative to typical E&amp;P peers who rely on third-party software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Devon's mission — to be 'a results-oriented oil and gas company that builds value for shareholders through our employees by creating a culture of health, safety and environmental stewardship' — leads explicitly with shareholder value rather than a purpose beyond profit, placing it in the 'clear but not distinctive' tier [4]. Community Impact (0/2): No specific charitable foundation programs, community investment dollar figures, or distinctive philanthropic initiatives were identified. Devon has established net-zero Scope 1&amp;2 emissions goals and flaring/freshwater-use reduction targets, but these are standard industry commitments [5]. Employee Retention (1/2): Glassdoor rating of 3.9/5 with 72% recommending the company, with CEO Gaspar emphasizing that AI empowerment has become part of the cultural identity — though no specific tenure or turnover data supports a mission-driven retention claim [3][6]. Insider Buying (0/2): Devon insiders sold approximately $4.4–4.7M in shares with zero recorded purchases in the trailing period — a net selling signal during a major integration, not conviction buying [7].</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(forced from portfolios.json). Devon's post-merger balance sheet is exceptionally strong: D/E of 28.5% is well under the 70% target (score 1.0), and Forward P/E of 8.8x provides deep value below the 20x target (score 1.0) [1]. ROE of 11.5% falls short of the 15% target (score 0.77), temporarily suppressed by the Coterra merger expanding the equity base faster than earnings have integrated. Revenue growth of 64.2% YoY clears the 10% target (score 1.0), though materially inflated by Coterra consolidation. Profit margin of 17.5% is approaching but below the 20% target (score 0.88) [1]. On dividend metrics, Devon has paid dividends continuously since 1993 (33 consecutive years, score 1.0 at 2x weight), with 9 consecutive years of base dividend growth (score 0.9) and the quarterly payout recently raised from $0.24 to $0.32. Payout ratio of 22.7% is conservative (score 1.0). The 5-year revenue CAGR is excluded given distortion from multiple mergers (WPX 2021, Grayson Mill 2024, Coterra 2026). Daily dollar volume of $524M provides ample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Devon under CEO Clay Gaspar has executed a genuinely fast, well-integrated transformational merger with Coterra and deployed AI more aggressively than any E&amp;P peer, but the company's guiding language centers on shareholder value and operational excellence rather than an idealistic cause bigger than the business. Gaspar's emphasis on cost discipline, synergy capture, and a 'cultural mindset' of business optimization reads as a well-run operator focused on the current consolidation cycle rather than a company built around a Just Cause that would survive a change in ownership or leadership.</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Devon's mission statement leads with building 'value for shareholders' and frames safety, environmental stewardship, and ethics as means to that end — a standard E&amp;P mission interchangeable with peers that does not describe an idealistic future state [4]. Gaspar's public commentary emphasizes that 'business optimization has transitioned from a one-off project to a new cultural mindset,' reinforcing an operational excellence framing rather than a purpose beyond profit.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ratings of 3.9/5 with 72% recommending the company indicate a stable, respected workplace [6]. CEO Gaspar's emphasis on AI empowerment ('I have watched the team become empowered by AI in all facets') suggests a technology-enabled culture of continuous improvement, but no specific tenure or turnover data distinguishes Devon from industry norms, and the integration of Coterra's workforce adds uncertainty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Public commentary from Gaspar and Devon management frames the Coterra deal and AI investment around scale, synergy capture, and cost advantage rather than acknowledging strengths of rivals like EOG Resources or ConocoPhillips as motivation for self-improvement. Competitive language centers on building the 'premier independent E&amp;P' — a market-position claim rather than a learning-from-rivals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Coterra merger substantially reshapes Devon's scale and asset base, pairing Coterra's Marcellus natural gas position with Devon's Permian oil focus, and integrating complementary AI capabilities [2][3]. This is meaningful strategic adaptation — additive consolidation and technology integration — but remains within the existing E&amp;P business model rather than a transformative pivot into a fundamentally different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Executing the Coterra merger in just 94 days and maintaining capital discipline (capex 2.4% below forecast with production at top of guidance) shows decisive, disciplined leadership [1][2]. The August 2026 executive reshuffle installing a new CTO demonstrates willingness to restructure during integration. However, the merger was primarily a scale-and-synergy play rather than a principled sacrifice of near-term results for a longer-term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Devon Energy at $47.88 with a $52.7B market cap is executing one of the cleanest transformations in the shale patch: the Coterra Energy merger closed May 7, 2026 in just 94 days, with 350+ synergy initiatives tracking ahead of schedule toward the $1B annual target [1][2]. Q2 2026 results beat estimates across the board — $7.42B revenue (+73% YoY), $1.57 adjusted EPS (beating $1.30 estimate), $1.7B adjusted free cash flow, with oil production at 503 Mbbl/d at the top of guidance and capex running 2.4% below plan [1]. The post-merger balance sheet is fortress-grade at 28.5% D/E, Forward P/E of just 8.8x provides deep value, and the dividend was raised after 33 consecutive years of uninterrupted payments (9 years of base growth) at a conservative 22.7% payout ratio. AI deployment is the deepest in E&amp;P — ChatDVN used daily by over half of employees, with 15–30% productivity gains quantified, and AI-driven super-lateral analytics directly tied to synergy capture [3].</w:t>
      </w:r>
    </w:p>
    <w:p>
      <w:pPr>
        <w:spacing w:after="120"/>
      </w:pPr>
      <w:r>
        <w:rPr>
          <w:rFonts w:ascii="Calibri" w:hAnsi="Calibri"/>
          <w:b w:val="0"/>
          <w:color w:val="3A4A28"/>
          <w:sz w:val="20"/>
        </w:rPr>
        <w:t>The bear case centers on commodity cyclicality and integration execution risk rather than balance-sheet fragility. Q2 2026's 64.2% revenue growth is materially inflated by the Coterra consolidation rather than organic volume or price growth, so headline growth rates will normalize sharply once the merger anniversaries in mid-2027 [1]. Devon remains fundamentally exposed to oil and gas price volatility that no amount of AI-driven drilling efficiency can fully offset, and a sustained WTI decline below $60/bbl would compress the robust free cash flow that supports dividends and buybacks. ROE of 11.5% is temporarily suppressed below the 15% target as the expanded equity base from the Coterra merger has not yet been fully utilized. Insiders have been net sellers (~$4.4–4.7M sold, zero purchases) during the integration period — a modest but notable signal [7]. The mission statement's explicit shareholder-value framing and the absence of a distinctive Just Cause mean Devon scores as a well-run operator rather than an infinite-game company, capping the overall score despite excellent operational execution. Shareholder activist group Majority Action has urged votes against Devon directors over insufficient Scope 3 emissions commitments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ahead-of-schedule delivery on the $1B Coterra merger synergy target, with AI-driven super-lateral drilling analytics and 350+ initiatives providing a repeatable efficiency lever through 2027 and beyond [2][3]</w:t>
      </w:r>
    </w:p>
    <w:p>
      <w:pPr>
        <w:spacing w:before="40" w:after="40"/>
        <w:ind w:left="283"/>
      </w:pPr>
      <w:r>
        <w:rPr>
          <w:rFonts w:ascii="Calibri" w:hAnsi="Calibri"/>
          <w:b/>
          <w:color w:val="4A6B25"/>
          <w:sz w:val="20"/>
        </w:rPr>
        <w:t xml:space="preserve">2. </w:t>
      </w:r>
      <w:r>
        <w:rPr>
          <w:rFonts w:ascii="Calibri" w:hAnsi="Calibri"/>
          <w:b w:val="0"/>
          <w:color w:val="3A4A28"/>
          <w:sz w:val="20"/>
        </w:rPr>
        <w:t>Q3 2026 as the first full combined quarter with Coterra stepping up to 550–560 Mbbl/d oil production, providing a clean read on the integrated entity's underlying organic trajectory [1]</w:t>
      </w:r>
    </w:p>
    <w:p>
      <w:pPr>
        <w:spacing w:before="40" w:after="40"/>
        <w:ind w:left="283"/>
      </w:pPr>
      <w:r>
        <w:rPr>
          <w:rFonts w:ascii="Calibri" w:hAnsi="Calibri"/>
          <w:b/>
          <w:color w:val="4A6B25"/>
          <w:sz w:val="20"/>
        </w:rPr>
        <w:t xml:space="preserve">3. </w:t>
      </w:r>
      <w:r>
        <w:rPr>
          <w:rFonts w:ascii="Calibri" w:hAnsi="Calibri"/>
          <w:b w:val="0"/>
          <w:color w:val="3A4A28"/>
          <w:sz w:val="20"/>
        </w:rPr>
        <w:t>Sustained free cash flow generation ($1.7B in Q2 alone) at a conservative 22.7% payout ratio supporting further dividend growth on top of the 33-year uninterrupted payment history and the recent hike from $0.24 to $0.32/quarter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Oil and gas price volatility — Devon's earnings and free cash flow remain fundamentally tied to WTI crude pricing, and a sustained decline below $60/bbl would compress margins regardless of AI-driven operational efficiencies [1]</w:t>
      </w:r>
    </w:p>
    <w:p>
      <w:pPr>
        <w:spacing w:before="40" w:after="40"/>
        <w:ind w:left="283"/>
      </w:pPr>
      <w:r>
        <w:rPr>
          <w:rFonts w:ascii="Calibri" w:hAnsi="Calibri"/>
          <w:b/>
          <w:color w:val="4A6B25"/>
          <w:sz w:val="20"/>
        </w:rPr>
        <w:t xml:space="preserve">2. </w:t>
      </w:r>
      <w:r>
        <w:rPr>
          <w:rFonts w:ascii="Calibri" w:hAnsi="Calibri"/>
          <w:b w:val="0"/>
          <w:color w:val="3A4A28"/>
          <w:sz w:val="20"/>
        </w:rPr>
        <w:t>Reported revenue growth of 64.2% YoY is a merger-consolidation artifact — once the Coterra deal anniversaries in mid-2027, headline growth comparisons will normalize and could disappoint investors extrapolating the current trend [1]</w:t>
      </w:r>
    </w:p>
    <w:p>
      <w:pPr>
        <w:spacing w:before="40" w:after="40"/>
        <w:ind w:left="283"/>
      </w:pPr>
      <w:r>
        <w:rPr>
          <w:rFonts w:ascii="Calibri" w:hAnsi="Calibri"/>
          <w:b/>
          <w:color w:val="4A6B25"/>
          <w:sz w:val="20"/>
        </w:rPr>
        <w:t xml:space="preserve">3. </w:t>
      </w:r>
      <w:r>
        <w:rPr>
          <w:rFonts w:ascii="Calibri" w:hAnsi="Calibri"/>
          <w:b w:val="0"/>
          <w:color w:val="3A4A28"/>
          <w:sz w:val="20"/>
        </w:rPr>
        <w:t>Net insider selling (~$4.4–4.7M sold, zero buys) during the largest integration in company history is a modest yellow flag on leadership's near-term conviction, combined with ROE temporarily depressed at 11.5% as the expanded equity base integrates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Devon's core business — physically extracting and producing oil and natural gas from the ground — is structurally immune to AI substitution; no AI application can replace the physical drilling, completions, and production infrastructure that generates revenue. Beyond immunity, AI is an explicit efficiency enabler: CEO Gaspar describes a 'third wave' of AI redesigning internal processes, with ChatDVN used daily by over half of employees, AI agents optimizing well design and sequencing completions, and 15–30% productivity improvements quantified among technical staff [3]. Surging AI data center demand for natural gas further positions Devon as a net beneficiary. AI Opportunity (1/1): Devon quantifies AI's contribution to value creation — AI-driven analytics for super-lateral drilling are explicitly cited as a driver of the $1B annual pre-tax Coterra synergy target, with 350+ synergy initiatives already tracking ahead of schedule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Devon Energy Q2 2026 Earnings — Revenue $7.42B (+73% YoY), Adjusted EPS $1.57 (Beat $1.30), $1.7B Adjusted FCF, Oil Production 503 Mbbl/d at Top of Guidance — Benzinga, EarningsWhispers, Investing.com, August 2026</w:t>
      </w:r>
    </w:p>
    <w:p>
      <w:pPr>
        <w:spacing w:before="20" w:after="20"/>
        <w:ind w:left="170"/>
      </w:pPr>
      <w:r>
        <w:rPr>
          <w:rFonts w:ascii="Calibri" w:hAnsi="Calibri"/>
          <w:b/>
          <w:color w:val="4A6B25"/>
          <w:sz w:val="15"/>
        </w:rPr>
        <w:t xml:space="preserve">2. </w:t>
      </w:r>
      <w:r>
        <w:rPr>
          <w:rFonts w:ascii="Calibri" w:hAnsi="Calibri"/>
          <w:b w:val="0"/>
          <w:color w:val="3A4A28"/>
          <w:sz w:val="17"/>
        </w:rPr>
        <w:t>Devon Energy / Coterra Energy Merger — Closed May 7, 2026 in 94 Days, $1B Synergy Target, 350+ Initiatives — Drilling Contractor, World Oil, 2026</w:t>
      </w:r>
    </w:p>
    <w:p>
      <w:pPr>
        <w:spacing w:before="20" w:after="20"/>
        <w:ind w:left="170"/>
      </w:pPr>
      <w:r>
        <w:rPr>
          <w:rFonts w:ascii="Calibri" w:hAnsi="Calibri"/>
          <w:b/>
          <w:color w:val="4A6B25"/>
          <w:sz w:val="15"/>
        </w:rPr>
        <w:t xml:space="preserve">3. </w:t>
      </w:r>
      <w:r>
        <w:rPr>
          <w:rFonts w:ascii="Calibri" w:hAnsi="Calibri"/>
          <w:b w:val="0"/>
          <w:color w:val="3A4A28"/>
          <w:sz w:val="17"/>
        </w:rPr>
        <w:t>Devon Energy AI Strategy — ChatDVN Platform (3 Years Running, 50%+ Daily Usage, 15-30% Productivity Gains), 'Third Wave' AI Agents, InnDrill/InnFrac — OilGasLeads, Drilling Contractor, CEO Gaspar Commentary, 2026</w:t>
      </w:r>
    </w:p>
    <w:p>
      <w:pPr>
        <w:spacing w:before="20" w:after="20"/>
        <w:ind w:left="170"/>
      </w:pPr>
      <w:r>
        <w:rPr>
          <w:rFonts w:ascii="Calibri" w:hAnsi="Calibri"/>
          <w:b/>
          <w:color w:val="4A6B25"/>
          <w:sz w:val="15"/>
        </w:rPr>
        <w:t xml:space="preserve">4. </w:t>
      </w:r>
      <w:r>
        <w:rPr>
          <w:rFonts w:ascii="Calibri" w:hAnsi="Calibri"/>
          <w:b w:val="0"/>
          <w:color w:val="3A4A28"/>
          <w:sz w:val="17"/>
        </w:rPr>
        <w:t>Devon Energy Mission, Vision &amp; Values — 'Results-Oriented' Shareholder Value Focus — Devon Corporate, Comparably, 2026</w:t>
      </w:r>
    </w:p>
    <w:p>
      <w:pPr>
        <w:spacing w:before="20" w:after="20"/>
        <w:ind w:left="170"/>
      </w:pPr>
      <w:r>
        <w:rPr>
          <w:rFonts w:ascii="Calibri" w:hAnsi="Calibri"/>
          <w:b/>
          <w:color w:val="4A6B25"/>
          <w:sz w:val="15"/>
        </w:rPr>
        <w:t xml:space="preserve">5. </w:t>
      </w:r>
      <w:r>
        <w:rPr>
          <w:rFonts w:ascii="Calibri" w:hAnsi="Calibri"/>
          <w:b w:val="0"/>
          <w:color w:val="3A4A28"/>
          <w:sz w:val="17"/>
        </w:rPr>
        <w:t>Devon Energy ESG — Majority Action Board Vote Campaign, Net-Zero Scope 1&amp;2 Goals, Sustainability Reporting — SEC Filings, Sustainalytics, Majority Action, 2022–2026</w:t>
      </w:r>
    </w:p>
    <w:p>
      <w:pPr>
        <w:spacing w:before="20" w:after="20"/>
        <w:ind w:left="170"/>
      </w:pPr>
      <w:r>
        <w:rPr>
          <w:rFonts w:ascii="Calibri" w:hAnsi="Calibri"/>
          <w:b/>
          <w:color w:val="4A6B25"/>
          <w:sz w:val="15"/>
        </w:rPr>
        <w:t xml:space="preserve">6. </w:t>
      </w:r>
      <w:r>
        <w:rPr>
          <w:rFonts w:ascii="Calibri" w:hAnsi="Calibri"/>
          <w:b w:val="0"/>
          <w:color w:val="3A4A28"/>
          <w:sz w:val="17"/>
        </w:rPr>
        <w:t>Devon Energy Employee Culture — Glassdoor 3.9/5, 72% Recommend, CEO Gaspar AI Empowerment Commentary — Glassdoor, World Oil, 2026</w:t>
      </w:r>
    </w:p>
    <w:p>
      <w:pPr>
        <w:spacing w:before="20" w:after="20"/>
        <w:ind w:left="170"/>
      </w:pPr>
      <w:r>
        <w:rPr>
          <w:rFonts w:ascii="Calibri" w:hAnsi="Calibri"/>
          <w:b/>
          <w:color w:val="4A6B25"/>
          <w:sz w:val="15"/>
        </w:rPr>
        <w:t xml:space="preserve">7. </w:t>
      </w:r>
      <w:r>
        <w:rPr>
          <w:rFonts w:ascii="Calibri" w:hAnsi="Calibri"/>
          <w:b w:val="0"/>
          <w:color w:val="3A4A28"/>
          <w:sz w:val="17"/>
        </w:rPr>
        <w:t>Devon Energy Insider Trading — ~$4.4-4.7M Net Insider Selling, Zero Purchases, 2026 — Yahoo Finance, GuruFocus,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