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DXC</w:t>
      </w:r>
      <w:r>
        <w:rPr>
          <w:rFonts w:ascii="Calibri" w:hAnsi="Calibri"/>
          <w:b/>
          <w:color w:val="1A2010"/>
          <w:sz w:val="40"/>
        </w:rPr>
        <w:t xml:space="preserve">  DXC Technology Company</w:t>
      </w:r>
    </w:p>
    <w:p>
      <w:pPr>
        <w:spacing w:after="120"/>
      </w:pPr>
      <w:r>
        <w:rPr>
          <w:rFonts w:ascii="Calibri" w:hAnsi="Calibri"/>
          <w:b/>
          <w:color w:val="6E8450"/>
          <w:sz w:val="18"/>
        </w:rPr>
        <w:t>GROWTH SLEEVE · 2026-09-08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DXC Technology is a global IT services provider formed from the 2017 merger of Computer Sciences Corporation and Hewlett Packard Enterprise Services. The company operates across three segments: Consulting and Engineering Services ($1.26B, +1.7% YoY), Global Infrastructure Services ($1.55B, -5.0% YoY), and Insurance Software and Services ($325M, +7.3% YoY). FY2026 total revenue was $12.64B (down 1.8% reported, down 4.8% organic), with non-GAAP diluted EPS of $3.23 and adjusted EBIT margin of 7.7%. CEO Raul Fernandez has led since February 2024. Market cap approximately $1.8B.</w:t>
      </w:r>
    </w:p>
    <w:p>
      <w:r>
        <w:rPr>
          <w:rFonts w:ascii="Calibri" w:hAnsi="Calibri"/>
          <w:b/>
          <w:color w:val="6E8450"/>
          <w:sz w:val="18"/>
        </w:rPr>
        <w:t>130,000 Employees · https://www.dxc.com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DXC launched DXC OASIS in mid-2026 to reimagine managed services for the AI era and established a Global AI Center of Competence with hubs across five countries, representing incremental service evolution rather than transformative business model innovation [1][3]. Revenue declined from $17.7B in FY2021 to $12.64B in FY2026, a persistent 4.8% organic contraction that undercuts any innovation narrative. AI Deployment (1/2): DXC deployed AI agents across its Security Operations Center, achieving a 77% reduction in triage and investigation time — a quantifiable internal efficiency gain [3]. DXC OASIS integrates AI-native managed services architecture, though no specific AI revenue impact has been disclosed. Market Share (0/2): DXC is losing market position with organic revenue declining 4.8% annually, indicating sustained share loss to Accenture, Infosys, and hyperscaler-managed services [1]. Global Infrastructure Services, the largest segment, declined 10.6% organically in FY2026. Product Pipeline (1/2): DXC OASIS and the Insurance Software segment (7.3% growth) provide some forward visibility, but next-generation product timelines and revenue targets remain vague [1]. R&amp;D Intensity (0/1): IT services companies typically invest minimally in R&amp;D relative to revenue, and DXC has not disclosed above-peer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DXC's tagline 'Impossible Delivered' is marketing-driven and interchangeable with any IT services competitor; it does not articulate a distinctive purpose or vision for the future beyond delivering technology solutions [3]. Community &amp; Charitable Impact (0/2): No evidence of distinctive community investment programs was identified. DXC maintains AA MSCI ESG rating and ISS Prime status with a low-risk ESG score of 15.3, but these reflect governance compliance rather than specific charitable programs with measurable community impact [4]. Employee Retention (1/2): DXC's leadership team scored A+ from employees on Comparably (Top 5% of companies with 10,000+ employees), suggesting adequate organizational stability under CEO Fernandez [2]. However, Glassdoor rating of 3.0/5.0 across 2,552 U.S. reviews (22% below IT industry average) with culture and values at 3.0/5 and career opportunities at 2.7/5 presents a contradictory picture. Insider Buying (0/2): No evidence of meaningful net insider buying by CEO Fernandez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DXC's strongest metric is its deeply discounted Forward P/E of 4.58, scoring a perfect 1.0 against the 20x target — the market prices zero growth into this business [5]. D/E of 127% scores 0.75 (above the 70% target but well below the 300% floor). ROE improved materially to 12.93% (from 0.84% in the prior screen), scoring 0.86 with 2x weight as operational profitability recovered from FY2025's write-down-driven trough [5]. Revenue Growth YoY of -1.8% scores 0.61 against the 10% target. The most damaging metric is the 5-year Revenue CAGR of -7.0%, which falls below the -5% floor and scores 0.0 at 2x weight, reflecting five consecutive years of organic decline [1]. Net profit margin of 2.96% scores only 0.15, reflecting thin profitability after restructuring charges. PEG ratio excluded (unavailable). Liquidity floor passed: 2.37M shares x $11.33 = $26.9M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DXC operates with a predominantly finite mindset, cycling through four CEOs since 2017 and restructuring programs without a consistent long-term vision. The company was born from a defensive merger of two declining legacy IT services companies, and its strategy has been reactive cost optimization rather than purpose-driven transformation. DXC OASIS and the AI Center of Competence show awareness that the legacy model is dying, but these come late and without the organizational conviction needed for genuine reinvention.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DXC's purpose of delivering technology solutions for enterprises is commercially oriented with no articulated vision of a better future state. 'Impossible Delivered' is a marketing slogan, not a cause that inspires sacrifice or long-term commitment [3]. The company has cycled through multiple strategic narratives since its 2017 formation without establishing a durable north star. Sinek would see a company that exists to survive, not to advance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Despite four CEO transitions since 2017 and ongoing restructuring, DXC's leadership team earned an A+ Comparably score from employees, placing it in the top 5% of large companies [2]. CEO Raul Fernandez (effective February 2024) has been emphasizing an employee-first culture. However, Glassdoor at 3.0/5 (22% below industry average) with reviews citing 'frequent layoffs,' 'lack of leadership,' and 'mismanagement' presents a contradictory picture of an organization where executive satisfaction diverges sharply from front-line employee experience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DXC's competitive positioning is defensive, focused on retaining existing clients against share loss to Accenture, Infosys, and cloud-native competitors. No evidence of management referencing competitors' strengths as motivation to improve or adopting an infinite competitive mindset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DXC has attempted to pivot from legacy IT outsourcing toward AI-era services through DXC OASIS and the Global AI Center of Competence [3]. This represents meaningful strategic adaptation and acknowledgment that the legacy outsourcing model is unsustainable. However, organic revenue continues to decline 4.8% annually, the pivot is incremental rather than transformative, and DXC has not abandoned any core business line to fund the transition.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DXC leadership making costly long-term bets in service of a purpose. The company's strategy has been characterized by cost optimization, divestitures, and restructuring rather than bold investments in future capabilities [1]. Each new CEO has announced a transformation plan, but none has demonstrated willingness to sacrifice short-term results for a long-term vision. The contrast with peers like Accenture (investing $3B+ in AI capabilities) is stark.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DXC Technology at 4.58x forward earnings and $11.33 stock price offers deep value optionality on a legacy IT services turnaround under CEO Raul Fernandez [5]. Operational profitability improved meaningfully in FY2026: non-GAAP EPS of $3.23 on $12.64B revenue, adjusted EBIT margin of 7.7%, and ROE recovering to 12.93% from near-zero levels suggest the business is stabilizing beneath the negative top-line trajectory [1]. Insurance Software &amp; Services grew 7.3% organically, providing a higher-margin anchor. DXC OASIS and the AI Center of Competence position the company to participate in enterprise AI adoption. Free cash flow generation supports the $1.8B market cap, and the stock trades at a fraction of revenue.</w:t>
      </w:r>
    </w:p>
    <w:p>
      <w:pPr>
        <w:spacing w:after="120"/>
      </w:pPr>
      <w:r>
        <w:rPr>
          <w:rFonts w:ascii="Calibri" w:hAnsi="Calibri"/>
          <w:b w:val="0"/>
          <w:color w:val="3A4A28"/>
          <w:sz w:val="20"/>
        </w:rPr>
        <w:t>The bear case is structural and severe. Revenue has declined for five consecutive years (-7.0% five-year CAGR), with FY2026 organic revenue down 4.8% reflecting persistent share loss to more innovative competitors [1]. GAAP diluted EPS of $0.10 (down 95.2%) reveals the extent of restructuring charges masking the non-GAAP picture. PitchGrade Research identifies DXC as facing 'structural disruption' from AI, noting that AI-powered migration tools directly attack DXC's lock-in moat with 'no meaningful data moat, network effects, or proprietary AI platform' to defend against disruption [3]. Glassdoor ratings of 3.0/5 (22% below industry average) signal a cultural deficit that impedes talent attraction precisely when AI talent is most critical [2]. D/E of 127% constrains strategic investment capacity. The Inspire Impact Score of -49 (MISALIGNED) limits allocation for faith-based investors. With no competitive moat, declining revenue, and existential AI disruption risk, the turnaround thesis requires both flawless execution and a favorable macro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CEO Raul Fernandez achieving organic revenue stabilization through AI services and DXC OASIS adoption, which would trigger significant multiple expansion from the deeply discounted 4.58x forward P/E [1][5]</w:t>
      </w:r>
    </w:p>
    <w:p>
      <w:pPr>
        <w:spacing w:before="40" w:after="40"/>
        <w:ind w:left="283"/>
      </w:pPr>
      <w:r>
        <w:rPr>
          <w:rFonts w:ascii="Calibri" w:hAnsi="Calibri"/>
          <w:b/>
          <w:color w:val="4A6B25"/>
          <w:sz w:val="20"/>
        </w:rPr>
        <w:t xml:space="preserve">2. </w:t>
      </w:r>
      <w:r>
        <w:rPr>
          <w:rFonts w:ascii="Calibri" w:hAnsi="Calibri"/>
          <w:b w:val="0"/>
          <w:color w:val="3A4A28"/>
          <w:sz w:val="20"/>
        </w:rPr>
        <w:t>Insurance Software &amp; Services segment accelerating beyond 7.3% organic growth as insurers modernize legacy platforms, providing a higher-margin revenue anchor that could offset infrastructure declines [1]</w:t>
      </w:r>
    </w:p>
    <w:p>
      <w:pPr>
        <w:spacing w:before="40" w:after="40"/>
        <w:ind w:left="283"/>
      </w:pPr>
      <w:r>
        <w:rPr>
          <w:rFonts w:ascii="Calibri" w:hAnsi="Calibri"/>
          <w:b/>
          <w:color w:val="4A6B25"/>
          <w:sz w:val="20"/>
        </w:rPr>
        <w:t xml:space="preserve">3. </w:t>
      </w:r>
      <w:r>
        <w:rPr>
          <w:rFonts w:ascii="Calibri" w:hAnsi="Calibri"/>
          <w:b w:val="0"/>
          <w:color w:val="3A4A28"/>
          <w:sz w:val="20"/>
        </w:rPr>
        <w:t>Margin expansion through AI-driven internal automation — the 77% Security Operations triage reduction could be replicated across service delivery, improving adjusted EBIT margin from 7.7% toward double digits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AI disruption eroding the legacy IT outsourcing moat as AI-powered migration tools reduce switching costs and automated infrastructure management replaces DXC's core value proposition — PitchGrade identifies DXC as having 'no meaningful data moat' against disruption [3]</w:t>
      </w:r>
    </w:p>
    <w:p>
      <w:pPr>
        <w:spacing w:before="40" w:after="40"/>
        <w:ind w:left="283"/>
      </w:pPr>
      <w:r>
        <w:rPr>
          <w:rFonts w:ascii="Calibri" w:hAnsi="Calibri"/>
          <w:b/>
          <w:color w:val="4A6B25"/>
          <w:sz w:val="20"/>
        </w:rPr>
        <w:t xml:space="preserve">2. </w:t>
      </w:r>
      <w:r>
        <w:rPr>
          <w:rFonts w:ascii="Calibri" w:hAnsi="Calibri"/>
          <w:b w:val="0"/>
          <w:color w:val="3A4A28"/>
          <w:sz w:val="20"/>
        </w:rPr>
        <w:t>Continued revenue attrition below the -7.0% five-year CAGR as enterprise clients accelerate migration from managed services to hyperscaler-native solutions, with GIS organic revenue already declining 10.6% in FY2026 [1]</w:t>
      </w:r>
    </w:p>
    <w:p>
      <w:pPr>
        <w:spacing w:before="40" w:after="40"/>
        <w:ind w:left="283"/>
      </w:pPr>
      <w:r>
        <w:rPr>
          <w:rFonts w:ascii="Calibri" w:hAnsi="Calibri"/>
          <w:b/>
          <w:color w:val="4A6B25"/>
          <w:sz w:val="20"/>
        </w:rPr>
        <w:t xml:space="preserve">3. </w:t>
      </w:r>
      <w:r>
        <w:rPr>
          <w:rFonts w:ascii="Calibri" w:hAnsi="Calibri"/>
          <w:b w:val="0"/>
          <w:color w:val="3A4A28"/>
          <w:sz w:val="20"/>
        </w:rPr>
        <w:t>Talent retention crisis evidenced by Glassdoor 3.0/5 rating (22% below industry) and frequent layoff cycles, creating a vicious cycle where top employees leave for AI-native competitors, further degrading service quality and accelerating client departures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DXC's core IT services business faces direct structural AI disruption risk. PitchGrade Research explicitly identifies DXC as a 'Legacy IT Services Provider Facing Structural Disruption,' noting that AI-powered migration tools and automated service transition platforms are reducing the switching costs that DXC's incumbent position relies upon, and that 'DXC has no meaningful data moat, network effects, or proprietary AI platform' [3]. Global Infrastructure Services (down 10.6% organic) is highly vulnerable to AI automation handling Tier 1-2 support, monitoring, and auto-remediation. Consulting services face compression from AI coding assistants and autonomous agents. However, complex enterprise consulting, regulated industry solutions (insurance software at 7.3% growth), and legacy system migration provide some protection as they require deep domain expertise [1]. AI Opportunity (1/1): DXC generates measurable AI revenue through its AI-enabled security operations (77% triage reduction), DXC OASIS managed services platform, and enterprise AI adoption consulting, even if total AI revenue is not separately disclosed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DXC Technology FY2026 Full-Year and Q4 Earnings Release — Revenue $12.64B (-1.8%), Adjusted EBIT $970M (7.7% margin), Non-GAAP EPS $3.23 (-5.8%), GAAP EPS $0.10, May 2026</w:t>
      </w:r>
    </w:p>
    <w:p>
      <w:pPr>
        <w:spacing w:before="20" w:after="20"/>
        <w:ind w:left="170"/>
      </w:pPr>
      <w:r>
        <w:rPr>
          <w:rFonts w:ascii="Calibri" w:hAnsi="Calibri"/>
          <w:b/>
          <w:color w:val="4A6B25"/>
          <w:sz w:val="15"/>
        </w:rPr>
        <w:t xml:space="preserve">2. </w:t>
      </w:r>
      <w:r>
        <w:rPr>
          <w:rFonts w:ascii="Calibri" w:hAnsi="Calibri"/>
          <w:b w:val="0"/>
          <w:color w:val="3A4A28"/>
          <w:sz w:val="17"/>
        </w:rPr>
        <w:t>DXC Technology Leadership and Culture — CEO Raul Fernandez (Feb 2024), Glassdoor 3.0/5 (2,552 US reviews, 22% below industry), Comparably A+ CEO rating,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DXC Technology AI Strategy and Disruption — DXC OASIS launch, AI Security Operations (77% triage reduction), PitchGrade 'Structural Disruption' analysis, PR Newswire July 2026</w:t>
      </w:r>
    </w:p>
    <w:p>
      <w:pPr>
        <w:spacing w:before="20" w:after="20"/>
        <w:ind w:left="170"/>
      </w:pPr>
      <w:r>
        <w:rPr>
          <w:rFonts w:ascii="Calibri" w:hAnsi="Calibri"/>
          <w:b/>
          <w:color w:val="4A6B25"/>
          <w:sz w:val="15"/>
        </w:rPr>
        <w:t xml:space="preserve">4. </w:t>
      </w:r>
      <w:r>
        <w:rPr>
          <w:rFonts w:ascii="Calibri" w:hAnsi="Calibri"/>
          <w:b w:val="0"/>
          <w:color w:val="3A4A28"/>
          <w:sz w:val="17"/>
        </w:rPr>
        <w:t>DXC Technology ESG — MSCI AA, ISS Prime, KnowESG low-risk 15.3, ESG disclosures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DXC Key Statistics: Forward P/E 4.58, D/E 127%, ROE 12.93%, Stock Price $11.33,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