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DXYZ</w:t>
      </w:r>
      <w:r>
        <w:rPr>
          <w:rFonts w:ascii="Calibri" w:hAnsi="Calibri"/>
          <w:b/>
          <w:color w:val="1A2010"/>
          <w:sz w:val="40"/>
        </w:rPr>
        <w:t xml:space="preserve">  Destiny Tech100 Inc.</w:t>
      </w:r>
    </w:p>
    <w:p>
      <w:pPr>
        <w:spacing w:after="120"/>
      </w:pPr>
      <w:r>
        <w:rPr>
          <w:rFonts w:ascii="Calibri" w:hAnsi="Calibri"/>
          <w:b/>
          <w:color w:val="6E8450"/>
          <w:sz w:val="18"/>
        </w:rPr>
        <w:t>GROWTH SLEEVE · 2026-09-28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Destiny Tech100 Inc. is a non-diversified, closed-end management investment company that gives public market investors indirect access to private, venture-backed technology companies before they IPO. As of Q4 2025, NAV was $19.97/share (+210% YoY) with aggregate portfolio fair value of approximately $434M. Largest disclosed positions include Anthropic (18.1%), SpaceX (14.5%), OpenAI (5.8%), and Databricks (2.5%). AI-classified positions represented 72.6% of deployed capital as of June 2026. The fund added approximately $127M in new investments in Anthropic, CHAOS Industries, and Hermeus Corporation in early 2026. Externally managed by DX Advisors LLC (transitioned from Destiny Advisors LLC in April 2026), with CEO Sohail Prasad.</w:t>
      </w:r>
    </w:p>
    <w:p>
      <w:r>
        <w:rPr>
          <w:rFonts w:ascii="Calibri" w:hAnsi="Calibri"/>
          <w:b/>
          <w:color w:val="6E8450"/>
          <w:sz w:val="18"/>
        </w:rPr>
        <w:t>https://destiny.xyz</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DXYZ added roughly $127M of incremental portfolio exposure in Anthropic, CHAOS Industries, and Hermeus Corporation in early 2026, expanding an already AI-heavy portfolio, but this is portfolio reallocation rather than operational or product innovation — the fund's NAV moves are driven by third-party mark-to-market changes in SpaceX, Anthropic, and OpenAI, not anything DXYZ itself builds [1]. AI Deployment (0/2): As a passive closed-end fund, DXYZ deploys no AI technology of its own; it merely holds equity in AI companies, with 72.6% of deployed capital in AI-classified positions [2]. Market Share (1/2): DXYZ remains one of the only exchange-listed vehicles offering retail exposure to SpaceX/Anthropic/OpenAI, but competing proxies have emerged and the fund is no longer a unique access point [1][3]. Product Pipeline (1/2): Potential SpaceX and Databricks IPOs provide a general catalyst path, and the April 2026 adviser transition to DX Advisors LLC signals evolving management structure without a defined product roadmap [3]. R&amp;D Intensity (0/1): Not applicable to a passive investment vehicle.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DXYZ's stated purpose — maximizing total return through capital gains on venture-backed private companies — is a standard closed-end fund investment mandate, not a distinctive purpose; it reads as a product feature ('access to SpaceX and OpenAI before IPO') rather than a cause [3]. Community Impact (0/2): No charitable, community, or social-impact programs were identified; the fund exists solely as an investment wrapper. Employee Retention (0/2): Not applicable — DXYZ has no disclosed employees and is externally managed by an adviser controlled by CEO Sohail Prasad [3]. Insider Buying (0/2): No evidence of net insider buying was found; the more notable governance event was the April 2026 transition of the investment adviser from Destiny Advisors LLC to DX Advisors LLC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DXYZ is a closed-end fund with no operating revenue, so essentially every core mechanical metric — D/E, ROE, revenue growth, Forward P/E, Forward PEG — is not applicable or null; its 'earnings' (trailing P/E of 2.96) are unrealized mark-to-market gains on illiquid private stakes rather than operating cash flow [4]. The only non-null metric, profit margin at 0.0%, scores at the floor, yielding an Infrastructure score of 0. The stock at $30.62 trades at a 53% premium to the Q4 2025 NAV of $19.97/share, and that premium reached 151% at points in 2026 [1]. A 2.50% annual management fee on gross assets, an at-the-market share-sale program that dilutes existing holders, and the April 2026 adviser transition add governance and cost concerns. Liquidity floor is cleared: 1.08M avg daily volume x $30.62 = ~$33.1M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DXYZ shows almost no infinite-game characteristics. It is a fee-generating access vehicle whose economics (2.50% of gross assets, an expanding at-the-market share program, and a history of the stock trading at extreme premiums to its own disclosed NAV) favor the manager over long-term shareholder value creation, and the April 2026 adviser transition adds governance uncertainty rather than continuity of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'Democratizing access to pre-IPO tech companies' is a marketing proposition, not a Sinek-caliber cause — it is undermined by a structure where shareholders have historically paid large premiums over NAV and now face dilution risk from an active at-the-market share-sale program, the opposite of a shareholder-service orientation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DXYZ has no disclosed employees; the adviser itself changed in April 2026 from Destiny Advisors LLC to DX Advisors LLC, an entity-level transition that provides no visibility into any organizational culture to evaluate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Coverage of DXYZ frames competing vehicles purely as alternative 'proxy trades' for the same underlying names, with no evidence the fund's management references rivals as motivation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closed-end structure is fixed by design, and the fund's only real 'moves' — the early 2026 Anthropic SPV top-up and the April 2026 adviser change — are portfolio and administrative adjustments, not a strategic pivot made in service of a larger cause [1][3].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Management has favored fee-maximizing structural choices (a 2.50% asset-based fee, continued at-the-market issuance that dilutes shareholders while the stock has been under premium-compression pressure) rather than sacrificing near-term manager economics for long-term shareholder alignment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DXYZ offers rare, exchange-listed retail exposure to some of the most sought-after private AI and space companies — Anthropic (18.1%), SpaceX (14.5%), OpenAI (5.8%), and Databricks (2.5%) — assets that are otherwise inaccessible to non-accredited investors [1]. NAV grew 210% in 2025 to $19.97/share, driven by explosive AI-sector valuations, and $127M in new investments in Anthropic, CHAOS Industries, and Hermeus added further exposure to frontier AI and defense tech [1][2]. Potential SpaceX, Databricks, or OpenAI IPOs in 2026-2027 could crystallize public valuations for the fund's largest holdings.</w:t>
      </w:r>
    </w:p>
    <w:p>
      <w:pPr>
        <w:spacing w:after="120"/>
      </w:pPr>
      <w:r>
        <w:rPr>
          <w:rFonts w:ascii="Calibri" w:hAnsi="Calibri"/>
          <w:b w:val="0"/>
          <w:color w:val="3A4A28"/>
          <w:sz w:val="20"/>
        </w:rPr>
        <w:t>The bear case dominates. DXYZ at $30.62 trades at a persistent premium to its Q4 2025 NAV of $19.97/share — a premium that reached 151% at points in 2026 — meaning investors are paying $1.53+ for every $1.00 of underlying asset value [1][4]. A 2.50% annual fee on gross assets, an active at-the-market share-sale program that dilutes existing holders, and an April 2026 adviser transition from Destiny Advisors LLC to DX Advisors LLC add governance and cost uncertainty on top of the inherent illiquidity and opacity of underlying private holdings [3]. With no operating revenue, no employees, and no scoreable financial infrastructure (trailing P/E of 2.96 reflects unrealized marks, not operating earnings), this is a speculative wrapper on volatile private valuations. Morningstar has flagged DXYZ as overpriced, and Seeking Alpha characterized the fund's pricing as 'from the dark side to the absurd' [4]. AI concentration risk at 72.6% of deployed capital creates extreme sector-specific vulnerability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 SpaceX, Databricks, or OpenAI IPO in 2026-2027 would convert DXYZ's largest illiquid private holdings into transparently priced public equity, removing valuation uncertainty</w:t>
      </w:r>
    </w:p>
    <w:p>
      <w:pPr>
        <w:spacing w:before="40" w:after="40"/>
        <w:ind w:left="283"/>
      </w:pPr>
      <w:r>
        <w:rPr>
          <w:rFonts w:ascii="Calibri" w:hAnsi="Calibri"/>
          <w:b/>
          <w:color w:val="4A6B25"/>
          <w:sz w:val="20"/>
        </w:rPr>
        <w:t xml:space="preserve">2. </w:t>
      </w:r>
      <w:r>
        <w:rPr>
          <w:rFonts w:ascii="Calibri" w:hAnsi="Calibri"/>
          <w:b w:val="0"/>
          <w:color w:val="3A4A28"/>
          <w:sz w:val="20"/>
        </w:rPr>
        <w:t>Continued markups of Anthropic (18.1% of portfolio, recently expanded via SPV) as the AI investment cycle continues to push private AI valuations higher [2]</w:t>
      </w:r>
    </w:p>
    <w:p>
      <w:pPr>
        <w:spacing w:before="40" w:after="40"/>
        <w:ind w:left="283"/>
      </w:pPr>
      <w:r>
        <w:rPr>
          <w:rFonts w:ascii="Calibri" w:hAnsi="Calibri"/>
          <w:b/>
          <w:color w:val="4A6B25"/>
          <w:sz w:val="20"/>
        </w:rPr>
        <w:t xml:space="preserve">3. </w:t>
      </w:r>
      <w:r>
        <w:rPr>
          <w:rFonts w:ascii="Calibri" w:hAnsi="Calibri"/>
          <w:b w:val="0"/>
          <w:color w:val="3A4A28"/>
          <w:sz w:val="20"/>
        </w:rPr>
        <w:t>Further compression of the historical NAV premium toward parity could make the fund a fairer-priced proxy than in 2024-2025, if the manager curbs additional dilutive at-the-market issuance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No operating revenue or scoreable financial infrastructure — DXYZ's value is entirely dependent on subjective, infrequently updated private-company marks that can move sharply on sentiment alone [4]</w:t>
      </w:r>
    </w:p>
    <w:p>
      <w:pPr>
        <w:spacing w:before="40" w:after="40"/>
        <w:ind w:left="283"/>
      </w:pPr>
      <w:r>
        <w:rPr>
          <w:rFonts w:ascii="Calibri" w:hAnsi="Calibri"/>
          <w:b/>
          <w:color w:val="4A6B25"/>
          <w:sz w:val="20"/>
        </w:rPr>
        <w:t xml:space="preserve">2. </w:t>
      </w:r>
      <w:r>
        <w:rPr>
          <w:rFonts w:ascii="Calibri" w:hAnsi="Calibri"/>
          <w:b w:val="0"/>
          <w:color w:val="3A4A28"/>
          <w:sz w:val="20"/>
        </w:rPr>
        <w:t>Ongoing at-the-market share issuance dilutes existing holders and has been cited by analysts as pressuring the stock, while a 2.50% asset-based management fee compounds against shareholder returns every year [3]</w:t>
      </w:r>
    </w:p>
    <w:p>
      <w:pPr>
        <w:spacing w:before="40" w:after="40"/>
        <w:ind w:left="283"/>
      </w:pPr>
      <w:r>
        <w:rPr>
          <w:rFonts w:ascii="Calibri" w:hAnsi="Calibri"/>
          <w:b/>
          <w:color w:val="4A6B25"/>
          <w:sz w:val="20"/>
        </w:rPr>
        <w:t xml:space="preserve">3. </w:t>
      </w:r>
      <w:r>
        <w:rPr>
          <w:rFonts w:ascii="Calibri" w:hAnsi="Calibri"/>
          <w:b w:val="0"/>
          <w:color w:val="3A4A28"/>
          <w:sz w:val="20"/>
        </w:rPr>
        <w:t>AI concentration risk at 72.6% of deployed capital exposes the fund to sector-specific valuation corrections, with no hedging or diversification strategy evident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DXYZ's actual business — an externally managed closed-end fund charging a 2.50% asset-based fee for access to hand-picked private stakes — is exposed to disruption from lower-cost, more transparent access vehicles (competing SPVs, tokenized private-equity platforms, and rival proxies) that could replicate the same access proposition more efficiently; a public fund wrapper with SEC registration provides some regulatory moat but no unique data or distribution advantage that AI-driven fintech competitors cannot erode over time [3]. AI Opportunity (1/1): The fund holds concentrated, quantified exposure to AI infrastructure leaders — Anthropic at 18.1% of the portfolio plus a further ~$100M SPV top-up, OpenAI at 5.8%, and Databricks at 2.5% — giving shareholders direct, disclosed dollar exposure to AI-driven private-market appreciation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Destiny Tech100 Q4 2025 Results — NAV $19.97/share (+210% YoY), portfolio value ~$434M, new investments in Anthropic/CHAOS Industries/Hermeus ($127M), February 2026</w:t>
      </w:r>
    </w:p>
    <w:p>
      <w:pPr>
        <w:spacing w:before="20" w:after="20"/>
        <w:ind w:left="170"/>
      </w:pPr>
      <w:r>
        <w:rPr>
          <w:rFonts w:ascii="Calibri" w:hAnsi="Calibri"/>
          <w:b/>
          <w:color w:val="4A6B25"/>
          <w:sz w:val="15"/>
        </w:rPr>
        <w:t xml:space="preserve">2. </w:t>
      </w:r>
      <w:r>
        <w:rPr>
          <w:rFonts w:ascii="Calibri" w:hAnsi="Calibri"/>
          <w:b w:val="0"/>
          <w:color w:val="3A4A28"/>
          <w:sz w:val="17"/>
        </w:rPr>
        <w:t>Destiny Tech100 2026 Portfolio Update — AI-classified positions 72.6% of deployed capital, investment themes include foundational models and autonomous systems, June 2026</w:t>
      </w:r>
    </w:p>
    <w:p>
      <w:pPr>
        <w:spacing w:before="20" w:after="20"/>
        <w:ind w:left="170"/>
      </w:pPr>
      <w:r>
        <w:rPr>
          <w:rFonts w:ascii="Calibri" w:hAnsi="Calibri"/>
          <w:b/>
          <w:color w:val="4A6B25"/>
          <w:sz w:val="15"/>
        </w:rPr>
        <w:t xml:space="preserve">3. </w:t>
      </w:r>
      <w:r>
        <w:rPr>
          <w:rFonts w:ascii="Calibri" w:hAnsi="Calibri"/>
          <w:b w:val="0"/>
          <w:color w:val="3A4A28"/>
          <w:sz w:val="17"/>
        </w:rPr>
        <w:t>SEC Filings, Destiny corporate website — Adviser transition to DX Advisors LLC (April 2026), CEO Sohail Prasad, 2.50% management fee, at-the-market issuance program</w:t>
      </w:r>
    </w:p>
    <w:p>
      <w:pPr>
        <w:spacing w:before="20" w:after="20"/>
        <w:ind w:left="170"/>
      </w:pPr>
      <w:r>
        <w:rPr>
          <w:rFonts w:ascii="Calibri" w:hAnsi="Calibri"/>
          <w:b/>
          <w:color w:val="4A6B25"/>
          <w:sz w:val="15"/>
        </w:rPr>
        <w:t xml:space="preserve">4. </w:t>
      </w:r>
      <w:r>
        <w:rPr>
          <w:rFonts w:ascii="Calibri" w:hAnsi="Calibri"/>
          <w:b w:val="0"/>
          <w:color w:val="3A4A28"/>
          <w:sz w:val="17"/>
        </w:rPr>
        <w:t>Yahoo Finance, Morningstar, Seeking Alpha — DXYZ Key Statistics: P/E 2.96, Price $30.62, NAV premium analysis,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