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DYN</w:t>
      </w:r>
      <w:r>
        <w:rPr>
          <w:rFonts w:ascii="Calibri" w:hAnsi="Calibri"/>
          <w:b/>
          <w:color w:val="1A2010"/>
          <w:sz w:val="40"/>
        </w:rPr>
        <w:t xml:space="preserve">  Dyne Therapeutics,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2026-09-09 · Inspire: 40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57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Healthcare · Biotechnology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Dyne Therapeutics is a clinical-stage biotechnology company focused on developing targeted therapeutics for patients with genetically driven neuromuscular diseases using its proprietary FORCE platform for muscle-targeted oligonucleotide delivery. Lead candidate z-rostudirsen received FDA BLA acceptance with Priority Review for exon 51 Duchenne muscular dystrophy (DMD), with a PDUFA target date of January 21, 2027. z-basivarsen is advancing in the ACHIEVE registrational trial for myotonic dystrophy type 1 (DM1) with topline data expected Q1 2027. DYNE-302 received IND clearance for facioscapulohumeral muscular dystrophy (FSHD). CEO John Cox joined in December 2025, previously leading Bioverativ (acquired by Sanofi for $11.6B). Market cap $4.53B with $898.5M cash as of Q2 2026. Founded 2018, headquartered in Waltham, Massachusetts.</w:t>
      </w:r>
    </w:p>
    <w:p>
      <w:r>
        <w:rPr>
          <w:rFonts w:ascii="Calibri" w:hAnsi="Calibri"/>
          <w:b/>
          <w:color w:val="6E8450"/>
          <w:sz w:val="18"/>
        </w:rPr>
        <w:t>400 Employees · https://www.dyne-tx.com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(3/3): Dyne has achieved the rare feat of advancing z-rostudirsen from discovery to FDA BLA acceptance with Priority Review in under 8 years — the BLA for exon 51 DMD was accepted with a PDUFA target date of January 21, 2027, representing a major regulatory milestone that validates the FORCE platform [1][2]. Simultaneously, the ACHIEVE registrational trial for z-basivarsen in DM1 completed enrollment of 71 participants with topline data planned for Q1 2027 and potential BLA submission targeted for Q3 2027 [2]. The creation of a Chief Innovation Officer role for founding CSO Oxana Beskrovnaya signals commitment to platform-driven discovery beyond current indications [4]. AI Deployment (0/2): No AI-powered products or quantified AI-driven operational improvements disclosed. Dyne uses conventional biotech drug discovery and development methods. Market Share (1/2): Dyne is positioned as a potential first-in-class therapy for exon 51 DMD via BLA and for DM1 via the ACHIEVE trial — both indications with high unmet medical need and limited or no approved disease-modifying treatments. However, no commercial presence exists yet [1][2]. Product Pipeline (2/2): Three clinical programs with specific regulatory timelines: z-rostudirsen (PDUFA Jan 2027 for DMD), z-basivarsen (topline Q1 2027, potential BLA Q3 2027 for DM1), and DYNE-302 (IND cleared, Phase 1 MAD trial for FSHD) [2]. FORCE platform extensibility provides long-term pipeline engine across neuromuscular diseases including Pompe disease and multiple DMD mutations. R&amp;D Intensity (1/1): As a clinical-stage biotech, essentially 100% of operating expenses are directed toward R&amp;D and clinical development, with $178.6M quarterly spend reflecting heavy investment in registrational programs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'Discovering and advancing innovative life-transforming therapeutics for people living with genetically driven neuromuscular diseases' is specific, patient-centered, and connects the company's work to meaningful human impact — DMD patients typically die in their 20s-30s, and DM1 has no approved disease-modifying therapy [2][4]. The mission is thoughtful and differentiated from generic pharma positioning. Community Impact (0/2): No evidence of charitable foundation, community programs, or meaningful community investment beyond the inherent patient impact of rare disease drug development. The company is focused on pre-commercial clinical development with all resources directed toward pipeline advancement [1]. Employee Retention (0/2): CEO John Cox joined December 2025 with key leadership appointments (CMO, CCO, CHRO, CBO, CSO) made in 2025-2026, indicating the leadership team is still being assembled for commercial readiness [4]. No public employee retention or culture data available. Insider Buying (0/2): No specific net insider buying data identified from available sources.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Pre-revenue clinical-stage biotech with infrastructure scored on available metrics only. Dyne has zero revenue, no earnings, and deeply negative ROE reflecting the clinical-stage burn profile — Q2 2026 net loss of $178.6M (-$1.08/share) was sharply higher than Q1's $120.9M loss due to accelerated registrational spending [1][2]. Estimated D/E of approximately 5% scores well (modest debt with $898.5M cash as of Q2 2026), but this is the only positive metric — ROE and profit margin both score at or below the floor [1]. All revenue growth and valuation metrics are null (not applicable for pre-revenue company). The $898.5M cash position provides runway into Q2 2028 with additional offering proceeds, sufficient through potential z-rostudirsen launch, but the $178.6M quarterly burn rate is accelerating [2]. Market cap of $4.53B reflects pipeline optionality and the de-risking from BLA acceptance rather than fundamentals. Liquidity is adequate at approximately $97M daily dollar volume 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Dyne exhibits genuine purpose-driven characteristics through its focus on developing life-transforming therapies for devastating neuromuscular diseases — DMD patients typically die in their 20s-30s, and DM1 has no approved disease-modifying therapy. The FORCE platform is designed for multi-decade pipeline expansion across multiple neuromuscular diseases, suggesting long-term thinking beyond individual product launches. The simultaneous advancement of three clinical programs (z-rostudirsen BLA, z-basivarsen Phase 3, DYNE-302 Phase 1) demonstrates ambitious conviction. However, the company is young (founded 2018) with a recently assembled leadership team (CEO since December 2025), limiting the evidence base for evaluating organizational resilience.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Developing life-transforming therapies for patients with genetically driven neuromuscular diseases is a genuine, patient-centered cause. DMD affects approximately 1 in 3,500 male births with no cure, and DM1 affects approximately 30,000 U.S. patients with no approved disease-modifying therapy — the unmet need is profound [1][2]. The FORCE platform was architected from inception for targeted muscle delivery, demonstrating intentional scientific vision oriented toward a future where these diseases can be effectively treated. However, the company was founded only in 2018 and has not yet proven the cause through multi-decade execution or leadership transitions — the CEO changed as recently as December 2025.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Key leadership appointments in 2025-2026 — CMO, CCO, CHRO, CBO Vikram Ranade, and CSO Ranjan Batra — suggest deliberate commercial-ready organization building [4]. The creation of a Chief Innovation Officer role for founding CSO Oxana Beskrovnaya shows thoughtful role evolution rather than displacement, preserving institutional knowledge while adding fresh leadership. CEO John Cox brings clinical-stage commercialization experience from Bioverativ. However, the team is largely new (most C-suite hired in 2025-2026), and with only ~400 employees the organization has not yet been tested through the stress of a commercial launch or regulatory setback.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(1/1): Dyne's competitive set includes Sarepta Therapeutics (established DMD franchise), Avidity Biosciences (oligonucleotide conjugates), and Biogen/Ionis (SPINRAZA platform). The company positions z-rostudirsen as a next-generation targeted therapy rather than framing competition as warfare [2]. The FORCE platform's differentiated muscle-delivery mechanism uses competitive strengths to sharpen its own scientific approach rather than attacking competitors' existing products. The BLA acceptance with Priority Review validates the scientific differentiation from existing treatments.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The FORCE platform has been extended from its original muscle-targeted delivery into CNS delivery applications and expanded from DMD into DM1, FSHD, and Pompe disease — representing meaningful strategic evolution of the core technology across multiple disease areas [2][4]. The IND clearance for DYNE-302 in FSHD demonstrates the platform's extensibility beyond the lead indications. The appointment of a Chief Innovation Officer to drive platform maximization suggests leadership is thinking about long-term flexibility. However, the company has not yet faced the test of strategic adversity — a regulatory rejection or clinical failure would be the true test of existential flexibility.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Pursuing three simultaneous clinical programs — z-rostudirsen BLA, z-basivarsen registrational trial with 71 enrolled participants, and DYNE-302 Phase 1 — at a burn rate of $178.6M per quarter demonstrates ambitious capital commitment and willingness to invest heavily in the pipeline [1][2]. Building commercial infrastructure pre-approval (CCO hire, CBO appointment) shows confidence in the pipeline's commercial potential. However, no examples of leadership making decisions with significant near-term financial sacrifice beyond the inherent risk of clinical-stage biotech development were identified.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Dyne Therapeutics is at its most significant inflection point — the FDA accepted the BLA for z-rostudirsen in exon 51 DMD with Priority Review and a PDUFA target date of January 21, 2027, representing a near-term binary catalyst that could transform the company from clinical-stage to commercial within months [1][2]. The FORCE platform has now produced three clinical programs: z-rostudirsen (BLA accepted), z-basivarsen (71-patient registrational cohort enrolled with topline data Q1 2027 and potential BLA Q3 2027 for DM1), and DYNE-302 (IND cleared for FSHD) [2]. Cash of $898.5M funds operations into Q2 2028, providing runway through potential z-rostudirsen launch [1]. The 17-analyst Strong Buy consensus with a $39.4 average price target (+62% upside) reflects conviction in the pipeline's commercial potential [3]. CEO John Cox brings rare disease commercialization experience from Bioverativ ($1.1B revenue before $11.6B Sanofi acquisition).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binary clinical/regulatory risk at extreme scale. Dyne is pre-revenue with an accelerating burn rate — Q2 2026 net loss of $178.6M was 48% higher than Q1's $120.9M, and the entire $4.53B market cap is optionality on regulatory and clinical success [1][2]. A BLA rejection for z-rostudirsen or negative ACHIEVE topline data for z-basivarsen would compress equity value substantially with no revenue floor. Infrastructure scores near the floor (3/10) because no financial metrics support the valuation beyond cash reserves. The leadership team is largely new (CEO since December 2025, most C-suite since 2025-2026), creating execution uncertainty for a first commercial launch [4]. Competition from Sarepta's established DMD franchise, Avidity Biosciences, and potential gene therapy entrants creates commercial risk even upon approval. The $898.5M cash position, while substantial, provides only ~5 quarters of runway at the current $178.6M quarterly burn rate — any regulatory delay could force dilutive financing. The Inspire Impact Score of 40 (ALIGNED) is a positive for faith-based investors.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z-rostudirsen PDUFA target date of January 21, 2027 with Priority Review for exon 51 DMD — potential FDA approval would be transformational, creating Dyne's first commercial product in a high-unmet-need indication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z-basivarsen ACHIEVE trial topline data expected Q1 2027 from the 71-participant registrational expansion cohort in DM1, with potential BLA submission targeted for Q3 2027 — a second commercial asset from the FORCE platform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DYNE-302 Phase 1 MAD trial initiation for FSHD following IND clearance — demonstrates FORCE platform extensibility and creates a third pipeline asset addressing another devastating neuromuscular disease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Binary regulatory risk — z-rostudirsen BLA rejection at the January 21, 2027 PDUFA date or a Complete Response Letter would devastate the stock, as the entire $4.53B market cap is built on pipeline optionality with no revenue floor [1][2]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Accelerating burn rate of $178.6M per quarter (up 48% from Q1) with $898.5M cash provides only ~5 quarters of runway — any regulatory delay beyond Q2 2028 forces dilutive financing at potentially distressed terms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Entirely new leadership team (CEO since December 2025, most C-suite since 2025-2026) with no track record of executing a commercial launch at Dyne creates first-launch execution uncertainty against Sarepta's established DMD franchise [4]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Genetic medicine for rare neuromuscular diseases is structurally immune to AI disruption. The core value drivers — clinical trial data demonstrating safety and efficacy, FDA regulatory approval, drug manufacturing, and patient treatment — require physical-world operations and deep regulatory expertise that AI cannot substitute [1][2]. The FORCE platform's proprietary oligonucleotide-conjugate technology and 8 years of accumulated clinical data create moats that AI-native entrants cannot replicate. AI may accelerate competing drug discovery programs over long time horizons, but the 10-15 year development cycle and regulatory barriers provide deep structural protection. The BLA acceptance with Priority Review represents a concrete regulatory moat that no AI capability can shortcut. AI Opportunity (0/1): No AI-generated revenue or disclosed AI-enhanced capabilities. Pre-revenue company focused on conventional drug development pipelines. While AI could theoretically accelerate FORCE platform target identification, no such integration has been announced.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40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Fair Competition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Dyne Therapeutics Q2 2026 Financial Results — Net Loss $178.6M (-$1.08/share), Cash $898.5M, BLA Accepted with Priority Review, PDUFA Jan 21, 2027 — StockTitan,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Dyne Therapeutics Q1 2026 and Pipeline Updates — Net Loss $120.9M, Cash $972.2M, z-basivarsen ACHIEVE Trial 71 Enrollments, DYNE-302 IND Clearance — StockTitan, investors.dyne-tx.com, May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Yahoo Finance, StockAnalysis, MarketBeat — DYN Key Statistics: Stock Price $24.27, Market Cap $4.53B, 17-Analyst Strong Buy Consensus, $39.4 Target —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Dyne Therapeutics Leadership Appointments — John Cox CEO (Dec 2025), CBO Vikram Ranade, CSO Ranjan Batra, CIO Oxana Beskrovnaya — investors.dyne-tx.com, 2025-2026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