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w:t>
      </w:r>
      <w:r>
        <w:rPr>
          <w:rFonts w:ascii="Calibri" w:hAnsi="Calibri"/>
          <w:b/>
          <w:color w:val="1A2010"/>
          <w:sz w:val="40"/>
        </w:rPr>
        <w:t xml:space="preserve">  Dominion Energy, Inc.</w:t>
      </w:r>
    </w:p>
    <w:p>
      <w:pPr>
        <w:spacing w:after="120"/>
      </w:pPr>
      <w:r>
        <w:rPr>
          <w:rFonts w:ascii="Calibri" w:hAnsi="Calibri"/>
          <w:b/>
          <w:color w:val="6E8450"/>
          <w:sz w:val="18"/>
        </w:rPr>
        <w:t>DIVIDEND SLEEVE · 2026-10-16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NYQ · United States</w:t>
      </w:r>
    </w:p>
    <w:p>
      <w:pPr>
        <w:spacing w:after="80"/>
      </w:pPr>
      <w:r>
        <w:rPr>
          <w:rFonts w:ascii="Calibri" w:hAnsi="Calibri"/>
          <w:b w:val="0"/>
          <w:color w:val="3A4A28"/>
          <w:sz w:val="20"/>
        </w:rPr>
        <w:t>Dominion Energy is one of the largest regulated electric utilities in the U.S., serving approximately 3.6 million customers primarily through Dominion Energy Virginia and Dominion Energy South Carolina. The company generates TTM revenue of $18.1B with a 14.0% profit margin, operating across regulated electric generation, transmission, and distribution as well as regulated natural gas distribution. Dominion sits at the center of the AI data center boom with 51GW of contracted data center capacity in its Northern Virginia pipeline — the heart of the global data center corridor — and is constructing the 2.6GW Coastal Virginia Offshore Wind (CVOW) project, one of the largest offshore wind developments in the U.S. [1][2].</w:t>
      </w:r>
    </w:p>
    <w:p>
      <w:r>
        <w:rPr>
          <w:rFonts w:ascii="Calibri" w:hAnsi="Calibri"/>
          <w:b/>
          <w:color w:val="6E8450"/>
          <w:sz w:val="18"/>
        </w:rPr>
        <w:t>15,200 Employees · https://www.dominionenergy.com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Dominion executed a significant strategic pivot in 2020 by divesting its gas transmission and storage business to Berkshire Hathaway Energy for $9.7B, refocusing on regulated electric utility operations and clean energy. The 2.6GW CVOW offshore wind project represents a major infrastructure investment, but it is a capital project rather than a product innovation or business model transformation. AI Deployment (0/2): No evidence of AI products shipping or quantified AI-driven cost savings. Dominion appointed John Russell as Chief AI and Digital Officer in 2025 to explore AI applications for grid management and operations, but no measurable results have been reported [2]. Market Share (1/2): Dominion Energy Virginia is the dominant regulated electric utility in Virginia, serving ~2.7 million customers and sitting at the epicenter of the world's largest data center market in Northern Virginia with 51GW of contracted data center capacity in its pipeline [2]. Product Pipeline (1/2): The CVOW project (2.6GW, expected completion ~2027) and the 51GW data center capacity pipeline provide significant revenue visibility, though both are infrastructure buildouts rather than new product categories. R&amp;D Intensity (0/1): Utilities invest heavily in capital expenditure but typically report minimal R&amp;D spend as a percentage of revenue; Dominion follows this industry pattern.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Dominion's purpose centers on providing reliable, affordable energy to power communities and support economic growth while protecting the environment. The mission identifies what the company does and for whom — powering homes, businesses, and increasingly data centers — but does not articulate a deeper purpose that distinguishes it from other regulated utilities. Community Impact (1/2): Dominion operates the EnergyShare program providing assistance to low-income customers, funds community development through the Dominion Energy Charitable Foundation, and has committed to reaching 40% diverse workforce representation by year-end 2026 [3]. However, specific dollar amounts for community investment were not quantified in available sources. Employee Retention (0/2): CEO Bob Blue has served since October 2020, providing reasonable leadership continuity. However, no specific voluntary turnover data, average tenure figures, or exceptional cultural indicators are publicly available to differentiate Dominion from utility industry norms. Insider Buying (0/2): No evidence of meaningful net insider buying by CEO Blue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Dominion's financial profile reflects utility-sector norms: D/E of 160.5% is elevated but typical for capital-intensive regulated utilities (score 0.61) [1]. ROE of 8.3% falls below the 15% target (score 0.55), constrained by the regulated return framework. Revenue growth of 17.6% YoY surpasses the 10% target (score 1.0), driven by higher fuel-related revenue, rider returns, and the 2025 Biennial Review, while the estimated 5-year revenue CAGR of approximately 5.5% (score 0.70) reflects steady but unspectacular growth. Forward P/E of 16.5 is below the 20 target (score 1.0), and profit margin of 14.0% approaches but misses the 20% target (score 0.70). The dividend profile is mixed: payout ratio of 92.4% approaches the 100% floor (score 0.13), consecutive years paid exceeds 25 years (score 1.0, 2x weight), but consecutive years of growth is 0 since the 2020 dividend cut and flat $0.668/quarter payments since 2022 (score 0.0), and the 5-year dividend growth CAGR of approximately 1.2% (score 0.20, 2x weight) reflects the post-cut stagnation. Daily dollar volume of $265M provides ample liquidity. Weighted sum: 7.08 / 12 = Infrastructure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Dominion operates with a mixed-to-finite mindset. The company has demonstrated some willingness to reshape itself — divesting the gas and storage business to Berkshire Hathaway in 2020 was a significant strategic pivot — but the execution has been uneven. The accompanying 33% dividend cut damaged shareholder trust, and the dividend has been flat at $0.668/quarter for four years since, signaling that management prioritizes capital preservation over stakeholder returns. The CVOW project represents a genuine long-term bet on clean energy, but Dominion's overall strategy remains driven by regulatory rate cases and capital deployment within the regulated utility framework rather than a transformative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Dominion has a purpose related to providing affordable, reliable energy while building a clean energy future, but this is the standard narrative of every regulated utility in America. The CVOW offshore wind project and data center expansion demonstrate some commitment to a cleaner energy future, but strategic decisions are fundamentally driven by regulated rate-of-return economics rather than an enduring cause that shapes the company's identity beyond its regulatory mandate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Bob Blue has provided consistent leadership since October 2020, and the organizational structure has been stable. Dominion's 15,200 employees work in a regulated utility environment with union representation and generally stable employment conditions. The appointment of a Chief AI and Digital Officer suggests some organizational investment in empowering teams to adopt new technologies [2]. However, no evidence of exceptional trust, psychological safety, or cultural distinction sets Dominion apart from utility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As a regulated utility with a geographic monopoly in Virginia, Dominion does not face direct competition in its core service territory. Competitive language focuses on capital deployment, rate base growth, and regulatory positioning rather than learning from peers'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Dominion's 2020 pivot from a diversified energy conglomerate (gas, storage, midstream, electric) to a focused regulated electric utility with a clean energy mandate represents meaningful strategic adaptation. The company abandoned its midstream empire — selling to Berkshire Hathaway — to concentrate on regulated electric operations, offshore wind, and data center demand. This was incremental rather than transformative; the core identity as a regulated utility was preserved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2020 divestiture of gas transmission and storage assets to Berkshire Hathaway for $9.7B represented a genuinely courageous decision — walking away from profitable fossil fuel infrastructure to refocus on regulated electric operations and clean energy. However, the accompanying 33% dividend cut from $0.94/quarter to $0.63/quarter, and four subsequent years of flat dividends at $0.668/quarter, suggest the divestiture was driven partly by financial necessity rather than purely by long-term vision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Dominion at $62.86 offers a compelling AI-beneficiary story wrapped in a utility's regulatory framework. The company sits at the epicenter of the global data center boom with 51GW of contracted capacity in Northern Virginia, where hyperscalers including Amazon, Microsoft, and Google are building AI infrastructure that drives regulated rate base growth [2][4]. Q2 2026 operating revenue rose 18% YoY to $4.48B, Q1 revenue hit $5.02B, and the company reaffirmed 2026 operating EPS guidance of $3.45-$3.69 with long-term growth of 5-7% biased toward the upper half in 2028-2030 [1]. The 4.25% dividend yield provides income while the Forward P/E of 16.5x is below the utility sector average, and the CVOW project adds exposure to the clean energy transition. The stock offers a rare combination of AI demand tailwinds and regulated utility downside protection.</w:t>
      </w:r>
    </w:p>
    <w:p>
      <w:pPr>
        <w:spacing w:after="120"/>
      </w:pPr>
      <w:r>
        <w:rPr>
          <w:rFonts w:ascii="Calibri" w:hAnsi="Calibri"/>
          <w:b w:val="0"/>
          <w:color w:val="3A4A28"/>
          <w:sz w:val="20"/>
        </w:rPr>
        <w:t>The bear case centers on execution risk and income quality. The 92.4% payout ratio leaves virtually no dividend safety margin — the 2020 cut from $0.94 to $0.63 per quarter demonstrated management's willingness to slash the dividend when capital needs require it, and four years of flat payments at $0.668 show no urgency to reward shareholders [3]. D/E of 160% reflects $53.9B in total debt against just $298M cash, and free cash flow is deeply negative (-$9.2B) as massive capital expenditure on CVOW, grid modernization, and data center infrastructure absorbs all operating cash. Q2 2026 GAAP net income fell 55% due to impairment charges on renewable natural gas facilities, highlighting earnings quality concerns beneath the operating EPS guidance [1]. The 5-year dividend growth CAGR of just 1.2% means income investors are accepting negative real dividend growth after inflation. Regulatory risk from Virginia rate cases could constrain the ability to fully monetize data center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51GW contracted data center capacity pipeline in Northern Virginia — the world's largest data center corridor — driven by hyperscaler AI infrastructure buildout, providing decades of regulated rate base growth and investment visibility [2][4]</w:t>
      </w:r>
    </w:p>
    <w:p>
      <w:pPr>
        <w:spacing w:before="40" w:after="40"/>
        <w:ind w:left="283"/>
      </w:pPr>
      <w:r>
        <w:rPr>
          <w:rFonts w:ascii="Calibri" w:hAnsi="Calibri"/>
          <w:b/>
          <w:color w:val="4A6B25"/>
          <w:sz w:val="20"/>
        </w:rPr>
        <w:t xml:space="preserve">2. </w:t>
      </w:r>
      <w:r>
        <w:rPr>
          <w:rFonts w:ascii="Calibri" w:hAnsi="Calibri"/>
          <w:b w:val="0"/>
          <w:color w:val="3A4A28"/>
          <w:sz w:val="20"/>
        </w:rPr>
        <w:t>CVOW 2.6GW offshore wind project approaching completion (~2027), which will be the largest offshore wind installation in the U.S. and add significant clean energy generation capacity to Dominion's regulated asset base</w:t>
      </w:r>
    </w:p>
    <w:p>
      <w:pPr>
        <w:spacing w:before="40" w:after="40"/>
        <w:ind w:left="283"/>
      </w:pPr>
      <w:r>
        <w:rPr>
          <w:rFonts w:ascii="Calibri" w:hAnsi="Calibri"/>
          <w:b/>
          <w:color w:val="4A6B25"/>
          <w:sz w:val="20"/>
        </w:rPr>
        <w:t xml:space="preserve">3. </w:t>
      </w:r>
      <w:r>
        <w:rPr>
          <w:rFonts w:ascii="Calibri" w:hAnsi="Calibri"/>
          <w:b w:val="0"/>
          <w:color w:val="3A4A28"/>
          <w:sz w:val="20"/>
        </w:rPr>
        <w:t>2026 operating EPS guidance of $3.45-$3.69 reaffirmed with long-term growth trajectory of 5-7%, biased to the upper half in 2028-2030, supported by accelerating data center connections and regulatory cost recovery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sustainability concern — 92.4% payout ratio with $0.668/quarter flat for four consecutive years since the 2020 cut, zero dividend growth, and deeply negative free cash flow (-$9.2B) create risk of another cut if capital needs intensify or regulatory outcomes disappoint [1][3]</w:t>
      </w:r>
    </w:p>
    <w:p>
      <w:pPr>
        <w:spacing w:before="40" w:after="40"/>
        <w:ind w:left="283"/>
      </w:pPr>
      <w:r>
        <w:rPr>
          <w:rFonts w:ascii="Calibri" w:hAnsi="Calibri"/>
          <w:b/>
          <w:color w:val="4A6B25"/>
          <w:sz w:val="20"/>
        </w:rPr>
        <w:t xml:space="preserve">2. </w:t>
      </w:r>
      <w:r>
        <w:rPr>
          <w:rFonts w:ascii="Calibri" w:hAnsi="Calibri"/>
          <w:b w:val="0"/>
          <w:color w:val="3A4A28"/>
          <w:sz w:val="20"/>
        </w:rPr>
        <w:t>Massive debt burden of $53.9B (D/E 160%) with only $298M cash, funding CVOW, grid modernization, and data center infrastructure — execution delays or cost overruns on the multi-billion CVOW project could stress the balance sheet and credit ratings</w:t>
      </w:r>
    </w:p>
    <w:p>
      <w:pPr>
        <w:spacing w:before="40" w:after="40"/>
        <w:ind w:left="283"/>
      </w:pPr>
      <w:r>
        <w:rPr>
          <w:rFonts w:ascii="Calibri" w:hAnsi="Calibri"/>
          <w:b/>
          <w:color w:val="4A6B25"/>
          <w:sz w:val="20"/>
        </w:rPr>
        <w:t xml:space="preserve">3. </w:t>
      </w:r>
      <w:r>
        <w:rPr>
          <w:rFonts w:ascii="Calibri" w:hAnsi="Calibri"/>
          <w:b w:val="0"/>
          <w:color w:val="3A4A28"/>
          <w:sz w:val="20"/>
        </w:rPr>
        <w:t>Virginia regulatory risk — rate case outcomes determine whether Dominion can fully monetize the data center demand wave, and environmental groups have challenged the company's continued natural gas investment through 2039, creating political and regulatory uncertainty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Dominion Energy is the textbook case of AI immunity — a regulated electric utility providing essential physical infrastructure that AI structurally cannot displace. Power generation, transmission, and distribution require physical plants, wires, and transformers that no software can replicate. More critically, AI is a massive demand driver for Dominion's product: the company has contracted 51GW of data center capacity in its Northern Virginia pipeline, the world's largest data center corridor, and CEO Bob Blue has stated he sees no reason this demand will slow [2][4]. Hyperscaler customers including Amazon, Microsoft, and Google are building AI training and inference infrastructure that requires enormous baseload electricity, directly increasing Dominion's rate base and regulated returns. AI Opportunity (1/1): Dominion generates quantifiable revenue from AI-related infrastructure — the 51GW contracted data center pipeline directly serves AI infrastructure customers, and data center connections are among the fastest-growing contributors to the company's regulated capital investment program and rate base growth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Dominion Energy Q2 2026 Earnings — Operating Revenue $4.48B (+18% YoY), Operating EPS $0.79, GAAP Net Income -55% on RNG Impairments — Quartr, MarketBeat, July 2026</w:t>
      </w:r>
    </w:p>
    <w:p>
      <w:pPr>
        <w:spacing w:before="20" w:after="20"/>
        <w:ind w:left="170"/>
      </w:pPr>
      <w:r>
        <w:rPr>
          <w:rFonts w:ascii="Calibri" w:hAnsi="Calibri"/>
          <w:b/>
          <w:color w:val="4A6B25"/>
          <w:sz w:val="15"/>
        </w:rPr>
        <w:t xml:space="preserve">2. </w:t>
      </w:r>
      <w:r>
        <w:rPr>
          <w:rFonts w:ascii="Calibri" w:hAnsi="Calibri"/>
          <w:b w:val="0"/>
          <w:color w:val="3A4A28"/>
          <w:sz w:val="17"/>
        </w:rPr>
        <w:t>Dominion Energy AI and Data Center Strategy — 51GW Contracted Pipeline, Chief AI &amp; Digital Officer Appointment — Data Center Dynamics, Nasdaq, KPMG Podcast, 2025-2026</w:t>
      </w:r>
    </w:p>
    <w:p>
      <w:pPr>
        <w:spacing w:before="20" w:after="20"/>
        <w:ind w:left="170"/>
      </w:pPr>
      <w:r>
        <w:rPr>
          <w:rFonts w:ascii="Calibri" w:hAnsi="Calibri"/>
          <w:b/>
          <w:color w:val="4A6B25"/>
          <w:sz w:val="15"/>
        </w:rPr>
        <w:t xml:space="preserve">3. </w:t>
      </w:r>
      <w:r>
        <w:rPr>
          <w:rFonts w:ascii="Calibri" w:hAnsi="Calibri"/>
          <w:b w:val="0"/>
          <w:color w:val="3A4A28"/>
          <w:sz w:val="17"/>
        </w:rPr>
        <w:t>Dominion Energy ESG and Dividend History — 2020 Dividend Cut, CVOW Development, Community Programs, Environmental Criticism — SEC Filings, Renewable Energy World, BizPac Review, 2023-2026</w:t>
      </w:r>
    </w:p>
    <w:p>
      <w:pPr>
        <w:spacing w:before="20" w:after="20"/>
        <w:ind w:left="170"/>
      </w:pPr>
      <w:r>
        <w:rPr>
          <w:rFonts w:ascii="Calibri" w:hAnsi="Calibri"/>
          <w:b/>
          <w:color w:val="4A6B25"/>
          <w:sz w:val="15"/>
        </w:rPr>
        <w:t xml:space="preserve">4. </w:t>
      </w:r>
      <w:r>
        <w:rPr>
          <w:rFonts w:ascii="Calibri" w:hAnsi="Calibri"/>
          <w:b w:val="0"/>
          <w:color w:val="3A4A28"/>
          <w:sz w:val="17"/>
        </w:rPr>
        <w:t>Dominion Energy 2026 Operating EPS Guidance ($3.45-$3.69) and Long-Term Growth Targets (5-7%) — Nasdaq, TD Cowen Upgrade Report,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