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EAT</w:t>
      </w:r>
      <w:r>
        <w:rPr>
          <w:rFonts w:ascii="Calibri" w:hAnsi="Calibri"/>
          <w:b/>
          <w:color w:val="1A2010"/>
          <w:sz w:val="40"/>
        </w:rPr>
        <w:t xml:space="preserve">  Brinker International, Inc.</w:t>
      </w:r>
    </w:p>
    <w:p>
      <w:pPr>
        <w:spacing w:after="120"/>
      </w:pPr>
      <w:r>
        <w:rPr>
          <w:rFonts w:ascii="Calibri" w:hAnsi="Calibri"/>
          <w:b/>
          <w:color w:val="6E8450"/>
          <w:sz w:val="18"/>
        </w:rPr>
        <w:t>GROWTH SLEEVE · 2026-09-25 · Inspire: 35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Restaurants · NYSE · United States</w:t>
      </w:r>
    </w:p>
    <w:p>
      <w:pPr>
        <w:spacing w:after="80"/>
      </w:pPr>
      <w:r>
        <w:rPr>
          <w:rFonts w:ascii="Calibri" w:hAnsi="Calibri"/>
          <w:b w:val="0"/>
          <w:color w:val="3A4A28"/>
          <w:sz w:val="20"/>
        </w:rPr>
        <w:t>Brinker International operates Chili's Grill &amp; Bar and Maggiano's Little Italy, with 1,700+ restaurants across 27 countries and two territories. Under CEO Kevin Hochman (since June 2022), the company has executed a dramatic Chili's turnaround through menu simplification, value-driven marketing, and operational improvements. FY2026 (ended June 2026) revenue reached $5.81B (+7.9% YoY) with EPS of $10.87 (+30.7%). Chili's comparable sales grew 5.6% and average unit volumes rose from $4.5M to $5.0M. FY2029 targets: 4-6% annual revenue growth and double-digit EPS growth.</w:t>
      </w:r>
    </w:p>
    <w:p>
      <w:r>
        <w:rPr>
          <w:rFonts w:ascii="Calibri" w:hAnsi="Calibri"/>
          <w:b/>
          <w:color w:val="6E8450"/>
          <w:sz w:val="18"/>
        </w:rPr>
        <w:t>125,000 Employees · https://www.brinker.com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CEO Kevin Hochman's Chili's turnaround since 2022 is a significant business transformation — average unit volumes rose from $4.5M to $5.0M through menu simplification (cutting underperforming items), value positioning (Triple Dipper, Big Smasher burger viral marketing), and operational improvements that reversed years of casual dining decline [1]. This repositioned Chili's from a declining legacy brand to a casual dining outperformer gaining traffic share. AI Deployment (1/2): Brinker uses Black Box Intelligence's restaurant-specific AI platform to connect guest sentiment directly to financial performance, validating menu simplification decisions, aligning leadership, and proving operational ROI — a quantifiable internal AI application driving strategic decisions [3]. Market Share (1/2): Chili's is outperforming the casual dining industry with positive traffic growth and 5.6% comp sales in Q4 FY2026, gaining share in a declining category. However, Brinker is not the category leader — Darden (Olive Garden) commands larger scale [1]. Product Pipeline (1/2): FY2029 targets include ramping to 30 new restaurants annually across 'significant new trade areas' with 4-6% annual revenue growth guidance, providing multi-year growth visibility [1]. R&amp;D Intensity (0/1): Restaurant company with no meaningful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Brinker's sustainability framework — 'Passionate People. Great Food. Better World. Responsible Governance.' — is clear and identifies the company's stakeholders. However, it reads as a corporate ESG framework rather than a distinctive purpose that shapes strategic decisions or inspires beyond the obvious. Community Impact (0/2): No evidence of significant charitable programs, foundation work, or community investment beyond standard restaurant industry practices. Sustainability report focuses on operational initiatives rather than distinctive community impact [3]. Employee Retention (1/2): Glassdoor rating of 3.8/5 with 68% of employees recommending the company, placing it 11% above typical restaurant industry companies. Reviews note improving culture under new leadership. However, Comparably rates the executive team in the bottom 15% of similar-sized companies, and some reviews describe a punitive management culture [3]. Insider Buying (0/2): No evidence of meaningful net insider buying by executives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sleeve, PEG excluded — unavailable). Brinker demonstrates exceptional ROE of 119.57% (amplified by near-negative book equity from leveraged buybacks and lease obligations) and attractive Forward P/E of 14.19x well below the 20x target [4]. Revenue growth 5yr CAGR of ~11.4% (FY2021 $3.39B to FY2026 $5.81B) exceeds the 10% target, driven by the Chili's turnaround and unit expansion [1]. Key drags: D/E of 395.76% exceeds the 300% floor (scoring 0), reflecting the highly leveraged capital structure common in restaurants (operating leases, share buybacks); profit margin of 8.39% is below the 20% target but above restaurant industry norms. YoY revenue growth of 7.9% (FY2026) falls slightly below the 10% target. Liquidity floor easily cleared at ~$244M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Brinker International operates with a finite mindset oriented around quarterly execution and market share competition rather than advancing a Just Cause. The Chili's turnaround under Kevin Hochman is operationally impressive but driven by competitive positioning and shareholder value creation rather than a transformative purpose. The company's 'Passionate People. Great Food. Better World.' framework is a corporate ESG structure, not a Just Cause. While the turnaround shows tactical courage and operational excellence, the organization lacks the deep purpose, trust-based culture, and competitive humility that characterize infinite game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Brinker's framework — 'Passionate People. Great Food. Better World.' — exists but is shallow and interchangeable with any large restaurant chain. It does not articulate a vision of a future state worth sacrificing for. Strategic decisions (menu simplification, value positioning, unit growth targets) are driven by competitive dynamics and financial returns rather than a purpose that transcends profitability [1].</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3.8/5 with 68% employee recommendation rate, 11% above the restaurant industry average. Reviews note that leadership is improving culture and 'listens to all levels of the organization.' However, some reviews describe a shift toward a punitive culture where 'mistakes are punished rather than learned from,' and Comparably rates the executive team in the bottom 15% — suggesting adequate but inconsistent organizational trust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Brinker's language frames the Chili's turnaround in terms of 'outperformance against the casual dining industry' and competitive share gains rather than learning from rivals' strengths. The company does not publicly acknowledge worthy rivals or frame competition as a tool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Chili's turnaround required meaningful strategic adaptation — simplifying a bloated menu, pivoting to value positioning in a premium-obsessed industry, and embracing viral social media marketing (Triple Dipper, Big Smasher). These represent incremental but significant evolution within the casual dining model [1]. However, Brinker has not fundamentally reinvented its business model — it remains a traditional casual dining operator that improved execution within its existing framework.</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Kevin Hochman's turnaround decisions — dramatically simplifying the Chili's menu (cutting items customers liked), investing aggressively in value positioning when peers were raising prices, and reorganizing operations — show willingness to make unpopular short-term decisions for long-term brand health. Average unit volumes rising from $4.5M to $5.0M validate these bets [1]. However, these are primarily operational execution decisions rather than the kind of principled sacrifice Sinek values — they were driven by competitive necessity rather than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Brinker at 14.19x forward earnings is a casual dining turnaround story delivering accelerating profitability — FY2026 EPS of $10.87 grew 30.7% on $5.81B revenue (+7.9%) as CEO Kevin Hochman's Chili's transformation drove 5.6% comp sales growth and average unit volumes to $5.0M from $4.5M [1]. The company's FY2029 targets (4-6% annual revenue growth, double-digit EPS growth, 30 new restaurants annually) provide multi-year visibility into sustained growth. ROE of 119.57% (albeit leverage-amplified) and Forward P/E of 14.19x suggest the market has not fully priced in the earnings growth runway. Chili's value positioning gives it counter-cyclical demand characteristics as consumers trade down from higher-priced dining options during economic uncertainty.</w:t>
      </w:r>
    </w:p>
    <w:p>
      <w:pPr>
        <w:spacing w:after="120"/>
      </w:pPr>
      <w:r>
        <w:rPr>
          <w:rFonts w:ascii="Calibri" w:hAnsi="Calibri"/>
          <w:b w:val="0"/>
          <w:color w:val="3A4A28"/>
          <w:sz w:val="20"/>
        </w:rPr>
        <w:t>The bear case centers on leverage, margin sustainability, and the inherent fragility of restaurant turnarounds. D/E of 395.76% reflects an extremely leveraged capital structure that amplifies both returns and risk — any revenue deceleration would quickly compress earnings given the fixed cost structure [4]. Profit margins of 8.39% are healthy by restaurant standards but leave minimal buffer against commodity cost inflation (food, labor), which historically erodes casual dining profitability in cycles. The dividend suspension since COVID (still not reinstated) signals management's recognition that cash flow flexibility is needed to service debt. The Chili's turnaround, while impressive, is driven by viral marketing and value positioning that may prove difficult to sustain — the Big Smasher burger and Triple Dipper are trends, not structural advantages. Casual dining as a category faces secular headwinds from fast-casual competition (Chipotle, Cava) and delivery-first models that erode dine-in traffic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FY2029 multi-year growth plan targeting 30 new restaurants annually across significant new trade areas, supported by Chili's average unit volume of $5.0M that makes new unit economics compelling [1]</w:t>
      </w:r>
    </w:p>
    <w:p>
      <w:pPr>
        <w:spacing w:before="40" w:after="40"/>
        <w:ind w:left="283"/>
      </w:pPr>
      <w:r>
        <w:rPr>
          <w:rFonts w:ascii="Calibri" w:hAnsi="Calibri"/>
          <w:b/>
          <w:color w:val="4A6B25"/>
          <w:sz w:val="20"/>
        </w:rPr>
        <w:t xml:space="preserve">2. </w:t>
      </w:r>
      <w:r>
        <w:rPr>
          <w:rFonts w:ascii="Calibri" w:hAnsi="Calibri"/>
          <w:b w:val="0"/>
          <w:color w:val="3A4A28"/>
          <w:sz w:val="20"/>
        </w:rPr>
        <w:t>Double-digit EPS growth guidance driven by continued Chili's comp sales momentum and operating leverage on the existing restaurant base, with 30.7% EPS growth in FY2026 establishing the trajectory</w:t>
      </w:r>
    </w:p>
    <w:p>
      <w:pPr>
        <w:spacing w:before="40" w:after="40"/>
        <w:ind w:left="283"/>
      </w:pPr>
      <w:r>
        <w:rPr>
          <w:rFonts w:ascii="Calibri" w:hAnsi="Calibri"/>
          <w:b/>
          <w:color w:val="4A6B25"/>
          <w:sz w:val="20"/>
        </w:rPr>
        <w:t xml:space="preserve">3. </w:t>
      </w:r>
      <w:r>
        <w:rPr>
          <w:rFonts w:ascii="Calibri" w:hAnsi="Calibri"/>
          <w:b w:val="0"/>
          <w:color w:val="3A4A28"/>
          <w:sz w:val="20"/>
        </w:rPr>
        <w:t>Value positioning creating counter-cyclical demand — Chili's as a trade-down destination from fine dining and fast casual during potential economic weakness could accelerate traffic gains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395.76% creates extreme financial leverage — any revenue deceleration or margin compression from food/labor cost inflation would disproportionately impact earnings and could threaten debt covenants [4]</w:t>
      </w:r>
    </w:p>
    <w:p>
      <w:pPr>
        <w:spacing w:before="40" w:after="40"/>
        <w:ind w:left="283"/>
      </w:pPr>
      <w:r>
        <w:rPr>
          <w:rFonts w:ascii="Calibri" w:hAnsi="Calibri"/>
          <w:b/>
          <w:color w:val="4A6B25"/>
          <w:sz w:val="20"/>
        </w:rPr>
        <w:t xml:space="preserve">2. </w:t>
      </w:r>
      <w:r>
        <w:rPr>
          <w:rFonts w:ascii="Calibri" w:hAnsi="Calibri"/>
          <w:b w:val="0"/>
          <w:color w:val="3A4A28"/>
          <w:sz w:val="20"/>
        </w:rPr>
        <w:t>Casual dining secular headwinds from fast-casual competition (Chipotle, Cava, Sweetgreen) and delivery-first models that commoditize the casual dining experience and erode Chili's dine-in traffic advantage</w:t>
      </w:r>
    </w:p>
    <w:p>
      <w:pPr>
        <w:spacing w:before="40" w:after="40"/>
        <w:ind w:left="283"/>
      </w:pPr>
      <w:r>
        <w:rPr>
          <w:rFonts w:ascii="Calibri" w:hAnsi="Calibri"/>
          <w:b/>
          <w:color w:val="4A6B25"/>
          <w:sz w:val="20"/>
        </w:rPr>
        <w:t xml:space="preserve">3. </w:t>
      </w:r>
      <w:r>
        <w:rPr>
          <w:rFonts w:ascii="Calibri" w:hAnsi="Calibri"/>
          <w:b w:val="0"/>
          <w:color w:val="3A4A28"/>
          <w:sz w:val="20"/>
        </w:rPr>
        <w:t>Chili's turnaround dependent on viral marketing momentum (Big Smasher, Triple Dipper) and value positioning that may prove unsustainable — menu trends are inherently cyclical and competitors can replicate value strategies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Brinker's core business — operating casual dining restaurants serving food prepared by kitchen staff to guests in physical locations — is structurally immune to AI disruption. AI cannot replace the physical acts of cooking, plating, serving, and creating a dining atmosphere. The 125,000+ employees across 1,700+ restaurants perform fundamentally physical and social work that no AI technology can substitute [1]. AI may enhance operations (kitchen management, scheduling, demand forecasting) but increases efficiency rather than threatening the business model. The primary risk vector is AI-enabled virtual/ghost kitchens competing on delivery, but Chili's in-restaurant experience and value positioning provide strong defense. AI Opportunity (0/1): Brinker uses Black Box Intelligence AI internally for decision support but does not generate AI-related revenue from customers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Brinker International FY2026 Annual Results — Revenue $5.81B (+7.9% YoY), Net Income $487M (+27.1%), EPS $10.87 (+30.7%), Chili's Comp Sales +5.6%, AUV $5.0M, FY2029 Targets: 4-6% Revenue Growth, 30 New Restaurants/Year, TradingView/SEC 8-K, August 2026</w:t>
      </w:r>
    </w:p>
    <w:p>
      <w:pPr>
        <w:spacing w:before="20" w:after="20"/>
        <w:ind w:left="170"/>
      </w:pPr>
      <w:r>
        <w:rPr>
          <w:rFonts w:ascii="Calibri" w:hAnsi="Calibri"/>
          <w:b/>
          <w:color w:val="4A6B25"/>
          <w:sz w:val="15"/>
        </w:rPr>
        <w:t xml:space="preserve">2. </w:t>
      </w:r>
      <w:r>
        <w:rPr>
          <w:rFonts w:ascii="Calibri" w:hAnsi="Calibri"/>
          <w:b w:val="0"/>
          <w:color w:val="3A4A28"/>
          <w:sz w:val="17"/>
        </w:rPr>
        <w:t>Brinker International Q3 FY2026 Earnings — Revenue growth with margin pressures, Beat EPS forecast, Investing.com/GuruFocus, April 2026</w:t>
      </w:r>
    </w:p>
    <w:p>
      <w:pPr>
        <w:spacing w:before="20" w:after="20"/>
        <w:ind w:left="170"/>
      </w:pPr>
      <w:r>
        <w:rPr>
          <w:rFonts w:ascii="Calibri" w:hAnsi="Calibri"/>
          <w:b/>
          <w:color w:val="4A6B25"/>
          <w:sz w:val="15"/>
        </w:rPr>
        <w:t xml:space="preserve">3. </w:t>
      </w:r>
      <w:r>
        <w:rPr>
          <w:rFonts w:ascii="Calibri" w:hAnsi="Calibri"/>
          <w:b w:val="0"/>
          <w:color w:val="3A4A28"/>
          <w:sz w:val="17"/>
        </w:rPr>
        <w:t>Brinker International Leadership and Culture — CEO Kevin Hochman (since June 2022), Glassdoor 3.8/5 (68% recommend, 11% above industry), Black Box Intelligence AI for guest sentiment, Comparably executive team bottom 15%,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EAT Key Statistics: P/E 19.01, Forward P/E 14.19, ROE 119.57%, D/E 395.76%, Profit Margin 8.39%, Stock Price $206.64, Avg Volume 1,181,880,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