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EBS</w:t>
      </w:r>
      <w:r>
        <w:rPr>
          <w:rFonts w:ascii="Calibri" w:hAnsi="Calibri"/>
          <w:b/>
          <w:color w:val="1A2010"/>
          <w:sz w:val="40"/>
        </w:rPr>
        <w:t xml:space="preserve">  Emergent BioSolutions Inc.</w:t>
      </w:r>
    </w:p>
    <w:p>
      <w:pPr>
        <w:spacing w:after="120"/>
      </w:pPr>
      <w:r>
        <w:rPr>
          <w:rFonts w:ascii="Calibri" w:hAnsi="Calibri"/>
          <w:b/>
          <w:color w:val="6E8450"/>
          <w:sz w:val="18"/>
        </w:rPr>
        <w:t>GROWTH SLEEVE · 2026-10-01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 United States</w:t>
      </w:r>
    </w:p>
    <w:p>
      <w:pPr>
        <w:spacing w:after="80"/>
      </w:pPr>
      <w:r>
        <w:rPr>
          <w:rFonts w:ascii="Calibri" w:hAnsi="Calibri"/>
          <w:b w:val="0"/>
          <w:color w:val="3A4A28"/>
          <w:sz w:val="20"/>
        </w:rPr>
        <w:t>Emergent BioSolutions is a life sciences company focused on providing medical countermeasures (MCM) to address chemical, biological, radiological, and nuclear (CBRN) threats, as well as emerging infectious diseases and opioid overdose. Key products include CYFENDUS and BioThrax (anthrax vaccines), ACAM2000 (smallpox vaccine), and NARCAN nasal spray (naloxone for opioid overdose). H1 2026 revenue was $390M (up 7.4% YoY), but full-year guidance was revised down to $645-675M due to NARCAN pricing/volume pressure. The company took a $191M non-cash NARCAN intangible asset impairment in Q2 2026.</w:t>
      </w:r>
    </w:p>
    <w:p>
      <w:r>
        <w:rPr>
          <w:rFonts w:ascii="Calibri" w:hAnsi="Calibri"/>
          <w:b/>
          <w:color w:val="6E8450"/>
          <w:sz w:val="18"/>
        </w:rPr>
        <w:t>2,300 Employees · https://www.emergentbiosolutions.com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Emergent successfully transitioned NARCAN from prescription to OTC in 2023, opening a significant consumer revenue stream, and developed CYFENDUS as a next-generation anthrax vaccine to replace BioThrax [1]. However, the NARCAN franchise is now deteriorating under generic competition and pricing pressure, prompting a $191M impairment, and the Bayview manufacturing facility contamination scandal (2021) resulted in FDA Warning Letters, facility closures, and hundreds of millions in remediation costs [1][3]. AI Deployment (0/2): No AI products or measurable AI-driven operational improvements evident in SEC filings or management commentary [4]. Market Share (1/2): Emergent is the sole-source provider of anthrax vaccines to the U.S. government and a key CBRN medical countermeasure contractor, maintaining monopoly-like positions in niche biodefense markets [1]. However, NARCAN's OTC market share is eroding as generic naloxone products from Teva and Hikma gain shelf space. Product Pipeline (1/2): CYFENDUS adoption continues as the next-gen anthrax vaccine, and the company maintains an MCM pipeline for government customers, but no specific next-generation products with defined timelines have been announced beyond existing government contracts [1]. R&amp;D Intensity (0/1): R&amp;D spending data not readily available, but the company's restructuring and $191M impairment suggest investment is focused on cost reduction rather than new product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Emergent's mission to 'protect and enhance life' is clear and identifies a meaningful purpose — defending against bioterrorism, emerging infectious diseases, and opioid overdose [4]. However, it is not distinctive within the pharma/biodefense sector and does not articulate a transformative vision beyond what any health-focused company might claim. Community Impact (1/2): The company's NARCAN distribution for the opioid crisis represents genuine public health impact, with millions of doses deployed to first responders and community organizations [3]. Emergent publishes ESG reports documenting access-to-medicine programs and community engagement. However, no specific dollar amounts for charitable giving were found. Employee Retention (0/2): Glassdoor ratings of 3.4/5 for culture and values with 52% of employees recommending the company suggest average-to-below-average workplace sentiment [2]. Reviews cite 'senior leadership lacks vision and direction' and disconnect between leadership and ground-level operations. Insider Buying (0/2): No evidence of meaningful net insider buying by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excluding unavailable Revenue Growth 5yr CAGR and Forward PEG). Daily dollar volume of ~$7.3M ($6.60 × 1.1M shares) clears the $1M liquidity floor [4]. D/E of 172.3% is well above the 70% target but below the 300% floor, scoring 0.56 [1]. ROE of -40.3% is deeply negative, scoring 0.0 (2× weight) [4]. Revenue growth YoY of 66.3% per trailing data scores 1.0, reflecting the Q2 2026 acceleration from MCM deliveries [1]. Forward P/E of 6.31 is deeply discounted below the 20 target, scoring 1.0 [4]. Profit margin of -23.0% is below the 0% floor, scoring 0.0 [1]. Weighted sum: (1×0.56)+(2×0.0)+(1×1.0)+(1×1.0)+(1×0.0)=2.56. Max weight: 6. Infrastructure: round(2.56/6×10)=4.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Emergent BioSolutions' biodefense mission to protect lives from CBRN threats carries genuine long-game resonance, but the company's execution has been decidedly finite: manufacturing quality failures, FDA Warning Letters, massive revenue declines post-COVID, and a forced restructuring all suggest a company managing crisis rather than building for endurance. The $191M NARCAN impairment and downward guidance revision in 2026 signal reactive management, not infinite-game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 and enhance life' through CBRN defense and opioid overdose treatment is a genuine purpose that connects Emergent's work to critical public health needs [4]. The anthrax vaccine program, smallpox preparedness, and NARCAN distribution to first responders demonstrate that the mission shapes real product decisions. However, the manufacturing quality failures at Bayview (2021), FDA Warning Letters, and operational mismanagement that cost hundreds of millions suggest the mission has not consistently guided operational discipline [3]. The purpose is real but incompletely lived.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environment: 52% employee recommendation rate, 3.4/5 culture rating, and recurring themes of 'senior leadership lacks vision and direction' and disconnect between leadership and ground-level operations [2]. The post-COVID restructuring, workforce reduction from ~3,200 to ~2,300, and manufacturing facility closures have created organizational instability. No evidence of exceptional trust, empowerment, or cultural practices that create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in management commentary [1]. Emergent's competitive language focuses on defending market positions (NARCAN vs. generics, anthrax sole-source contracts) rather than acknowledging rival strengths or using competitive pressure for self-improvement. The NARCAN pricing response suggests a finite 'defend share'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Emergent has evolved meaningfully over its history — from a pure biodefense company (anthrax vaccine) to adding the NARCAN commercial franchise and broader MCM portfolio [1]. The acquisition of NARCAN from Adapt Pharma and the OTC transition represented strategic portfolio expansion into a new market. These moves show incremental flexibility but not transformative reinvention; the company remains a niche pharmaceutical manufacturer.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company's restructuring and cost-cutting measures are driven by financial distress rather than proactive long-term investment [1]. The downward revenue guidance revision from $720-760M to $645-675M and $191M NARCAN impairment suggest reactive crisis management. No examples of leadership sacrificing near-term results for long-term capability building; instead, decisions appear driven by quarter-to-quarter survival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Emergent BioSolutions at 6.3x forward earnings with a $338M market cap offers deep-value exposure to U.S. government biodefense spending, which benefits from bipartisan support and rising geopolitical threat awareness [1][4]. Q2 2026 revenue surged 66% YoY to $234.3M driven by accelerated MCM deliveries, and Q1 2026 revenue of $156.1M exceeded guidance with a positive EPS of $0.07, suggesting operational stabilization [1]. The company's sole-source anthrax vaccine position (CYFENDUS/BioThrax), ACAM2000 smallpox vaccine, and broad MCM portfolio provide durable government revenue streams with high switching costs. The Inspire Impact Score of 29 (ALIGNED) with 15 positive ESG attributions and zero negative marks reflects the company's public health mission.</w:t>
      </w:r>
    </w:p>
    <w:p>
      <w:pPr>
        <w:spacing w:after="120"/>
      </w:pPr>
      <w:r>
        <w:rPr>
          <w:rFonts w:ascii="Calibri" w:hAnsi="Calibri"/>
          <w:b w:val="0"/>
          <w:color w:val="3A4A28"/>
          <w:sz w:val="20"/>
        </w:rPr>
        <w:t>The bear case centers on deteriorating financials and franchise erosion. Full-year 2026 guidance was cut to $645-675M from $720-760M, driven by sustained pricing and volume pressure in the NARCAN commercial business, which also triggered a $191M non-cash intangible asset impairment [1]. Profit margin of -23.0% and ROE of -40.3% demonstrate the company is not currently profitable, with D/E of 172.3% adding balance sheet strain [4]. The COVID-era manufacturing quality failures at Bayview led to FDA Warning Letters and destroyed hundreds of millions in vaccine doses, permanently damaging the company's reputation as a reliable manufacturer [3]. Generic naloxone competition from Teva and Hikma is structurally eroding NARCAN's pricing power and market share. The company's dependence on lumpy U.S. government procurement cycles creates revenue volatility, as the 30% Q1 YoY revenue decline and 66% Q2 surge demonstrate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government biodefense spending expansion could accelerate MCM procurement, with CYFENDUS adoption as the next-generation anthrax vaccine replacing legacy BioThrax stockpiles [1]</w:t>
      </w:r>
    </w:p>
    <w:p>
      <w:pPr>
        <w:spacing w:before="40" w:after="40"/>
        <w:ind w:left="283"/>
      </w:pPr>
      <w:r>
        <w:rPr>
          <w:rFonts w:ascii="Calibri" w:hAnsi="Calibri"/>
          <w:b/>
          <w:color w:val="4A6B25"/>
          <w:sz w:val="20"/>
        </w:rPr>
        <w:t xml:space="preserve">2. </w:t>
      </w:r>
      <w:r>
        <w:rPr>
          <w:rFonts w:ascii="Calibri" w:hAnsi="Calibri"/>
          <w:b w:val="0"/>
          <w:color w:val="3A4A28"/>
          <w:sz w:val="20"/>
        </w:rPr>
        <w:t>Forward P/E of 6.3x implies minimal expectations — any sustained profitability or revenue stabilization could drive significant multiple expansion from the current $338M market cap [4]</w:t>
      </w:r>
    </w:p>
    <w:p>
      <w:pPr>
        <w:spacing w:before="40" w:after="40"/>
        <w:ind w:left="283"/>
      </w:pPr>
      <w:r>
        <w:rPr>
          <w:rFonts w:ascii="Calibri" w:hAnsi="Calibri"/>
          <w:b/>
          <w:color w:val="4A6B25"/>
          <w:sz w:val="20"/>
        </w:rPr>
        <w:t xml:space="preserve">3. </w:t>
      </w:r>
      <w:r>
        <w:rPr>
          <w:rFonts w:ascii="Calibri" w:hAnsi="Calibri"/>
          <w:b w:val="0"/>
          <w:color w:val="3A4A28"/>
          <w:sz w:val="20"/>
        </w:rPr>
        <w:t>Restructuring completion and operational cost reduction could restore positive operating margins, building on Q1 2026's positive EPS of $0.07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guidance cut to $645-675M from $720-760M signals continued NARCAN franchise deterioration under generic naloxone competition from Teva and Hikma, with the $191M non-cash intangible impairment acknowledging permanent value destruction [1]</w:t>
      </w:r>
    </w:p>
    <w:p>
      <w:pPr>
        <w:spacing w:before="40" w:after="40"/>
        <w:ind w:left="283"/>
      </w:pPr>
      <w:r>
        <w:rPr>
          <w:rFonts w:ascii="Calibri" w:hAnsi="Calibri"/>
          <w:b/>
          <w:color w:val="4A6B25"/>
          <w:sz w:val="20"/>
        </w:rPr>
        <w:t xml:space="preserve">2. </w:t>
      </w:r>
      <w:r>
        <w:rPr>
          <w:rFonts w:ascii="Calibri" w:hAnsi="Calibri"/>
          <w:b w:val="0"/>
          <w:color w:val="3A4A28"/>
          <w:sz w:val="20"/>
        </w:rPr>
        <w:t>Negative profitability (profit margin -23.0%, ROE -40.3%) and D/E of 172.3% create balance sheet fragility — the company must return to sustained profitability to avoid further financial distress [4]</w:t>
      </w:r>
    </w:p>
    <w:p>
      <w:pPr>
        <w:spacing w:before="40" w:after="40"/>
        <w:ind w:left="283"/>
      </w:pPr>
      <w:r>
        <w:rPr>
          <w:rFonts w:ascii="Calibri" w:hAnsi="Calibri"/>
          <w:b/>
          <w:color w:val="4A6B25"/>
          <w:sz w:val="20"/>
        </w:rPr>
        <w:t xml:space="preserve">3. </w:t>
      </w:r>
      <w:r>
        <w:rPr>
          <w:rFonts w:ascii="Calibri" w:hAnsi="Calibri"/>
          <w:b w:val="0"/>
          <w:color w:val="3A4A28"/>
          <w:sz w:val="20"/>
        </w:rPr>
        <w:t>Dependence on lumpy U.S. government MCM procurement cycles creates extreme revenue volatility (Q1 down 30% YoY, Q2 up 66% YoY), making financial planning and investor confidence challenging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Emergent BioSolutions' core business — manufacturing physical vaccines, therapeutics, and nasal spray products for government and OTC markets — is structurally protected from AI disruption [1]. The company operates FDA-regulated manufacturing facilities producing anthrax vaccines (CYFENDUS/BioThrax), smallpox vaccine (ACAM2000), and naloxone nasal spray (NARCAN), none of which can be substituted by software. Government CBRN defense contracts require physical product delivery and are governed by multi-year procurement agreements with high switching costs [1]. Regulatory barriers (FDA approval, cGMP compliance) create additional moats against AI displacement. The primary risks to Emergent's business are generic pharmaceutical competition and government budget allocation, not AI substitution. AI Opportunity (0/1): No AI-related revenue. The company has not deployed AI products or reported measurable AI-driven operational improvements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Emergent BioSolutions Q1 and Q2 FY2026 Earnings Releases — Investing.com, TradingView,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Glassdoor — Emergent BioSolutions Reviews: 3.4/5 Culture, 52% Recommend, 518 Reviews,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Emergent BioSolutions 2023 ESG Report and FDA Warning Letter Resolution — SEC Filings, Sustainalytics, MarketBeat, 2022-2024</w:t>
      </w:r>
    </w:p>
    <w:p>
      <w:pPr>
        <w:spacing w:before="20" w:after="20"/>
        <w:ind w:left="170"/>
      </w:pPr>
      <w:r>
        <w:rPr>
          <w:rFonts w:ascii="Calibri" w:hAnsi="Calibri"/>
          <w:b/>
          <w:color w:val="4A6B25"/>
          <w:sz w:val="15"/>
        </w:rPr>
        <w:t xml:space="preserve">4. </w:t>
      </w:r>
      <w:r>
        <w:rPr>
          <w:rFonts w:ascii="Calibri" w:hAnsi="Calibri"/>
          <w:b w:val="0"/>
          <w:color w:val="3A4A28"/>
          <w:sz w:val="17"/>
        </w:rPr>
        <w:t>StockAnalysis.com, Yahoo Finance — EBS Key Statistics: $6.60 price, $338M market cap, Forward P/E 6.31,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