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ECVT</w:t>
      </w:r>
      <w:r>
        <w:rPr>
          <w:rFonts w:ascii="Calibri" w:hAnsi="Calibri"/>
          <w:b/>
          <w:color w:val="1A2010"/>
          <w:sz w:val="40"/>
        </w:rPr>
        <w:t xml:space="preserve">  Ecovyst Inc.</w:t>
      </w:r>
    </w:p>
    <w:p>
      <w:pPr>
        <w:spacing w:after="120"/>
      </w:pPr>
      <w:r>
        <w:rPr>
          <w:rFonts w:ascii="Calibri" w:hAnsi="Calibri"/>
          <w:b/>
          <w:color w:val="6E8450"/>
          <w:sz w:val="18"/>
        </w:rPr>
        <w:t>GROWTH SLEEVE · 2026-09-16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Ecovyst provides virgin and regenerated sulfuric acid products and services for refinery alkylation, copper mining, water treatment, and industrial applications. Founded in 1831 and formerly known as PQ Group Holdings, Ecovyst rebranded in 2021 to focus on sustainable chemical solutions. The company reported Q2 2026 revenue of $250M (+42% YoY) with adjusted EBITDA of $53.1M (+27%), and raised full-year 2026 adjusted EBITDA guidance to $195-207M. The Calabrian acquisition adds virgin sulfuric acid capacity with $10-12M EBITDA contribution in H2 2026.</w:t>
      </w:r>
    </w:p>
    <w:p>
      <w:r>
        <w:rPr>
          <w:rFonts w:ascii="Calibri" w:hAnsi="Calibri"/>
          <w:b/>
          <w:color w:val="6E8450"/>
          <w:sz w:val="18"/>
        </w:rPr>
        <w:t>617 Employees · https://www.ecovyst.com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Ecovyst divested its silica catalyst business in 2023 for ~$1B to focus entirely on Ecoservices (sulfuric acid), a strategic simplification rather than transformative innovation [1]. The Calabrian acquisition in 2026 expanded virgin sulfuric acid capacity (Waggaman facility), contributing $10-12M EBITDA in H2. Q2 2026 revenue surged 42% YoY to $250M with double-digit virgin acid volume growth driven by copper mining electrification demand [1]. AI Deployment (1/2): Ecovyst is implementing practical AI for maintenance analytics, demand planning, margin visibility, and technical-service knowledge management [2]. No specific revenue impact or cost savings quantified. Market Share (1/2): Ecovyst is a leading North American provider of regenerated sulfuric acid for oil refineries, with the Calabrian acquisition strengthening virgin acid market position. Meaningful player but not a dominant monopolist across the broader specialty chemicals sector [1]. Pipeline (1/2): Waggaman facility integration, Calabrian EBITDA ramp ($10-12M H2 contribution), and copper mining electrification demand provide near-term growth visibility, though these are capacity additions rather than next-generation products with specific launch dates [1]. R&amp;D Intensity (0/1): Specialty chemical company with standard process optimization; DCS furnace systems reduce CO2 emissions but R&amp;D spend is not materially above industry average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Ecovyst positions itself as a 'catalyst for positive change' with a focus on safety and sustainability, reinforced by the 2021 rebrand emphasizing eco-friendly chemical solutions [3]. The mission identifies what the company does and connects to environmental purpose, but is not distinctive — any specialty chemical company pursuing ESG goals could claim identical language. Community Impact (1/2): Ecovyst has maintained zero Level 3 environmental releases since 2016 while operating hazardous chemical facilities, published sustainability reports aligned with GRI and SASB standards, and supports UN SDGs through operational commitments [3]. No specific philanthropic dollar amounts or distinctive community investment programs identified. Employee Retention (0/2): Glassdoor 2.6/5 for culture and values with only 51% of employees recommending the company. Reviews describe 'senior leadership constantly changing,' 'poor communication and follow through,' and 'lacking transparency and clear goals' [2]. New CEO Kurt Bitting's appointment adds to the leadership instability narrative.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93.1% exceeds the 70% target but scores 0.90, reflecting $546M debt against the Calabrian acquisition [4]. ROE of 4.04% is well below the 15% target (2x weight for growth), scoring 0.27 — the most penalizing metric [4]. Revenue growth YoY of 42% far exceeds the 10% target, scoring 1.0 [1]. Forward P/E of 12.0 is well below the 20 target, scoring 1.0 — suggesting the market expects meaningful earnings improvement [4]. Profit margin of -7.1% (trailing) is below the 0% floor, scoring 0.0, though Q2 2026 net income of $10.7M suggests the trailing figure includes one-time items from the Calabrian integration [1]. Revenue growth 5yr CAGR and Forward PEG unavailable, excluded from calculation. Ecovyst generated $148M operating cash flow and $126M free cash flow on a trailing basis, demonstrating cash generation despite the negative trailing profit margin [4]. Liquidity floor cleared at ~$15.9M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Ecovyst demonstrates limited infinite game characteristics despite its 195-year heritage (founded 1831). The sustainability rebrand provides directional purpose, but Glassdoor data revealing constantly changing leadership (culture 2.6/5, 51% recommendation rate) fundamentally undermines the trusting teams foundation. The divestiture and refocus on sulfuric acid showed strategic courage, but the company's cause remains pragmatic rather than inspirational, and competitive positioning lacks the self-improvement orientation that characterizes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Ecovyst's rebranding around sustainable chemistry articulates a purpose beyond pure profit, connecting sulfuric acid recycling to environmental stewardship [3]. However, the cause feels more like strategic positioning than deeply held conviction — the sustainability focus is recent (post-2021 rebrand), and the mission is interchangeable with any peer pursuing ESG goals. The 195-year heritage provides longevity but the company has reinvented its identity multiple times (PQ Group Holdings to Ecovyst), suggesting the cause follows the business rather than guiding 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significant trust deficits: culture and values scored 2.6/5, work-life balance 2.7/5, and only 51% of employees recommend the company [2]. Employees report 'constantly changing senior leadership,' 'poor communication and follow through,' and 'lacking transparency and clear goals.' The recent CEO appointment of Kurt Bitting adds another leadership transition. For a 617-person workforce, these signals indicate organizational dysfunction that Sinek would identify as a fundamental weakness in the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Ecovyst acknowledging competitors' strengths or using rivalry as motivation for self-improvement. The company's competitive narrative focuses on its own sustainability credentials and integrated service capabilities rather than learning from rivals in the specialty chemicals space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divestiture of the silica catalyst business for ~$1B and complete rebrand from PQ Group Holdings to Ecovyst represents meaningful strategic flexibility — walking away from a significant business line to concentrate on sulfuric acid services [1]. The Calabrian acquisition further sharpened the strategic focus. However, this was simplification rather than transformative reinvention, and the core sulfuric acid business model has operated continuously since 1831.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divest the silica catalyst business and rebrand entirely required conviction, particularly when it temporarily reduced the revenue base and produced a negative 5-year revenue CAGR [1]. Maintaining zero Level 3 environmental releases since 2016 while operating hazardous chemical facilities demonstrates principled operational discipline [3]. The Calabrian acquisition during a period of stock weakness showed willingness to invest for growth. However, the leadership instability reported by employees undermines the consistency of courageous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Ecovyst is delivering a decisive earnings inflection with Q2 2026 revenue of $250M (+42% YoY) and adjusted EBITDA of $53.1M (+27%), driven by high refinery utilization, favorable alkylate economics, and double-digit virgin sulfuric acid volume growth from copper mining electrification [1]. Management raised FY2026 adjusted EBITDA guidance to $195-207M, incorporating the Calabrian acquisition contribution of $10-12M in H2. At $10.54 with a forward P/E of 12.0x and $1.15B market cap, the stock is attractively valued for a company generating $126M in free cash flow and demonstrating improving profitability [4]. The Ecoservices business benefits from essential-service positioning — refineries must regenerate sulfuric acid for clean fuel alkylation, creating recurring revenue with high switching costs — and copper demand from AI infrastructure electrification provides a secular tailwind for virgin acid volumes [1].</w:t>
      </w:r>
    </w:p>
    <w:p>
      <w:pPr>
        <w:spacing w:after="120"/>
      </w:pPr>
      <w:r>
        <w:rPr>
          <w:rFonts w:ascii="Calibri" w:hAnsi="Calibri"/>
          <w:b w:val="0"/>
          <w:color w:val="3A4A28"/>
          <w:sz w:val="20"/>
        </w:rPr>
        <w:t>The bear case centers on leverage, profitability consistency, and organizational challenges. D/E of 93.1% has increased with the Calabrian acquisition, and $546M in total debt against only $90M cash creates refinancing risk if the earnings inflection stalls [4]. Trailing profit margin remains negative at -7.1% and ROE of just 4.04% indicates the company is not yet generating adequate returns on equity, despite the improving quarterly trend [4]. Glassdoor ratings of 2.6/5 for culture with 'constantly changing leadership' and only 51% employee recommendation create execution risk during a critical growth phase [2]. The stock has declined 15% from $12.40 to $10.54 despite improving fundamentals, potentially reflecting investor skepticism about sustainability. The refinery services business is structurally tied to fossil fuel processing — as energy transition reduces crude oil refining over the long term, the regenerated sulfuric acid market faces secular headwinds. Revenue growth of 42% is partly acquisition-driven, and organic growth rates will normalize as comps toughen in 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adjusted EBITDA guidance raised to $195-207M with the Calabrian acquisition adding $10-12M in H2 — if execution continues, the forward P/E of 12.0x offers significant re-rating potential from the current $10.54 stock price [1]</w:t>
      </w:r>
    </w:p>
    <w:p>
      <w:pPr>
        <w:spacing w:before="40" w:after="40"/>
        <w:ind w:left="283"/>
      </w:pPr>
      <w:r>
        <w:rPr>
          <w:rFonts w:ascii="Calibri" w:hAnsi="Calibri"/>
          <w:b/>
          <w:color w:val="4A6B25"/>
          <w:sz w:val="20"/>
        </w:rPr>
        <w:t xml:space="preserve">2. </w:t>
      </w:r>
      <w:r>
        <w:rPr>
          <w:rFonts w:ascii="Calibri" w:hAnsi="Calibri"/>
          <w:b w:val="0"/>
          <w:color w:val="3A4A28"/>
          <w:sz w:val="20"/>
        </w:rPr>
        <w:t>Copper mining electrification driving double-digit virgin sulfuric acid volume growth — AI data center buildout increases electricity demand, which increases copper demand, which requires sulfuric acid for extraction, creating a durable secular tailwind [1]</w:t>
      </w:r>
    </w:p>
    <w:p>
      <w:pPr>
        <w:spacing w:before="40" w:after="40"/>
        <w:ind w:left="283"/>
      </w:pPr>
      <w:r>
        <w:rPr>
          <w:rFonts w:ascii="Calibri" w:hAnsi="Calibri"/>
          <w:b/>
          <w:color w:val="4A6B25"/>
          <w:sz w:val="20"/>
        </w:rPr>
        <w:t xml:space="preserve">3. </w:t>
      </w:r>
      <w:r>
        <w:rPr>
          <w:rFonts w:ascii="Calibri" w:hAnsi="Calibri"/>
          <w:b w:val="0"/>
          <w:color w:val="3A4A28"/>
          <w:sz w:val="20"/>
        </w:rPr>
        <w:t>Free cash flow generation of $126M on a trailing basis provides capacity for debt reduction from the 93% D/E level, improving balance sheet health and potentially enabling capital return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93.1% with $546M debt against $90M cash creates meaningful leverage risk — if the earnings inflection stalls or a recession reduces refinery utilization, debt service becomes challenging [4]</w:t>
      </w:r>
    </w:p>
    <w:p>
      <w:pPr>
        <w:spacing w:before="40" w:after="40"/>
        <w:ind w:left="283"/>
      </w:pPr>
      <w:r>
        <w:rPr>
          <w:rFonts w:ascii="Calibri" w:hAnsi="Calibri"/>
          <w:b/>
          <w:color w:val="4A6B25"/>
          <w:sz w:val="20"/>
        </w:rPr>
        <w:t xml:space="preserve">2. </w:t>
      </w:r>
      <w:r>
        <w:rPr>
          <w:rFonts w:ascii="Calibri" w:hAnsi="Calibri"/>
          <w:b w:val="0"/>
          <w:color w:val="3A4A28"/>
          <w:sz w:val="20"/>
        </w:rPr>
        <w:t>Long-term refinery structural decline as energy transition reduces crude oil processing volumes, threatening the regenerated sulfuric acid business that remains the core revenue driver [1]</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 Glassdoor 2.6/5 culture, 51% recommendation rate, and reports of constantly changing senior leadership create execution risk during the critical Calabrian integration and growth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Ecovyst's core business — manufacturing and regenerating sulfuric acid for refinery alkylation, copper mining, and water treatment — is entirely physical and cannot be substituted by AI [1]. Sulfuric acid is the most-produced industrial chemical globally, essential for producing clean gasoline (alkylation), extracting copper (electrolytic leaching), and purifying water. Refineries cannot replace acid regeneration with software, and environmental regulations around hazardous chemical handling create deep regulatory moats. The copper mining tailwind from AI data center electrification (increased copper demand for power infrastructure) indirectly benefits Ecovyst's virgin sulfuric acid business [1]. AI Opportunity (0/1): Ecovyst uses AI internally for maintenance analytics and demand planning but does not generate external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Ecovyst Q2 2026 Earnings Release — Revenue $250M (+42% YoY), Adjusted EBITDA $53.1M (+27%), Net Income $10.7M, FY2026 Adj EBITDA Guidance Raised to $195-207M, Calabrian Acquisition $10-12M H2 Contribution, August 2026</w:t>
      </w:r>
    </w:p>
    <w:p>
      <w:pPr>
        <w:spacing w:before="20" w:after="20"/>
        <w:ind w:left="170"/>
      </w:pPr>
      <w:r>
        <w:rPr>
          <w:rFonts w:ascii="Calibri" w:hAnsi="Calibri"/>
          <w:b/>
          <w:color w:val="4A6B25"/>
          <w:sz w:val="15"/>
        </w:rPr>
        <w:t xml:space="preserve">2. </w:t>
      </w:r>
      <w:r>
        <w:rPr>
          <w:rFonts w:ascii="Calibri" w:hAnsi="Calibri"/>
          <w:b w:val="0"/>
          <w:color w:val="3A4A28"/>
          <w:sz w:val="17"/>
        </w:rPr>
        <w:t>Ecovyst Leadership, AI Strategy, Culture — CEO Kurt Bitting, Glassdoor (2.6/5 Culture, 51% Recommend), AI for Maintenance Analytics and Demand Planning,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Ecovyst ESG and Sustainability — 2024 Sustainability Report, Zero Level 3 Environmental Releases Since 2016, GRI/SASB Alignment, UN SDG Support,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Ecovyst Financial Statistics — Yahoo Finance: Stock Price $10.54, Forward P/E 12.0, D/E 93.1%, ROE 4.04%, Profit Margin -7.1%, FCF $126M, Avg Volume 1.51M,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