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EC</w:t>
      </w:r>
      <w:r>
        <w:rPr>
          <w:rFonts w:ascii="Calibri" w:hAnsi="Calibri"/>
          <w:b/>
          <w:color w:val="1A2010"/>
          <w:sz w:val="40"/>
        </w:rPr>
        <w:t xml:space="preserve">  Ecopetrol S.A.</w:t>
      </w:r>
    </w:p>
    <w:p>
      <w:pPr>
        <w:spacing w:after="120"/>
      </w:pPr>
      <w:r>
        <w:rPr>
          <w:rFonts w:ascii="Calibri" w:hAnsi="Calibri"/>
          <w:b/>
          <w:color w:val="6E8450"/>
          <w:sz w:val="18"/>
        </w:rPr>
        <w:t>DIVIDEND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NYSE · Colombia</w:t>
      </w:r>
    </w:p>
    <w:p>
      <w:pPr>
        <w:spacing w:after="80"/>
      </w:pPr>
      <w:r>
        <w:rPr>
          <w:rFonts w:ascii="Calibri" w:hAnsi="Calibri"/>
          <w:b w:val="0"/>
          <w:color w:val="3A4A28"/>
          <w:sz w:val="20"/>
        </w:rPr>
        <w:t>Ecopetrol S.A. is the largest integrated energy company in Colombia and one of the principal integrated energy companies in the Americas. Majority state-owned (~88.5% by the Colombian government), the company operates across exploration, production, refining, transportation, and marketing of oil, gas, and petrochemical products. Under CEO Ricardo Roa Barragan (since April 2023), Ecopetrol delivered record Q2 2026 results with revenue of COP 40.2 trillion (+35% YoY), EBITDA of COP 17.7 trillion (44% margin), and net income of COP 6.1 trillion (+235% YoY) [1]. Production guidance for 2026 is 730-740 kboe/d, with the Brava Energia acquisition expected to consolidate in Q3 2026, adding 42,000 boe/d [2]. The company trades on the NYSE as an ADR.</w:t>
      </w:r>
    </w:p>
    <w:p>
      <w:r>
        <w:rPr>
          <w:rFonts w:ascii="Calibri" w:hAnsi="Calibri"/>
          <w:b/>
          <w:color w:val="6E8450"/>
          <w:sz w:val="18"/>
        </w:rPr>
        <w:t>13,000 Employees · https://www.ecopetrol.com.co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Ecopetrol has executed incremental strategic extensions over the past 5 years — the Brava Energia acquisition (adding 42K boe/d), offshore Copoazu-1 gas discovery, and downstream margin improvement (EBITDA contribution rising from 4% to 14% YoY) — but no transformative product launches or business model pivots [1][2]. The company remains fundamentally the same integrated oil &amp; gas operator. AI Deployment (0/2): No evidence of AI-powered products shipping to customers or quantified AI-driven cost savings. The company appointed Sergio Moreno Acevedo as Corporate VP of Science, Technology, and Innovation in July 2025 targeting operational cost reduction through digital transformation, but no measurable AI results have been reported [3]. Market Share (2/2): Ecopetrol is the dominant energy company in Colombia, responsible for over 60% of national hydrocarbon production and operating the majority of refining, pipeline transportation, and logistics infrastructure in the country [2]. This is unambiguous category leadership at the national level. Product Pipeline (1/2): 2026 production guidance of 730-740 kboe/d with Brava consolidation in Q3 adding 42K boe/d provides near-term visibility. Investment plan of $5.4-6.7B signals continued development, and Copoazu-1 adds reserve pipeline [2]. R&amp;D Intensity (0/1): No evidence of R&amp;D spending above sector peers; the 8% energy transition capex allocation is modest relative to European majors.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Ecopetrol's purpose is rooted in energy security and economic development for Colombia, serving as the national champion responsible for the majority of the country's hydrocarbon production [2]. As a state-majority-owned entity, the mission connects to national prosperity, but it lacks the distinctiveness of a purpose-driven vision beyond what any national oil company would articulate. Community Impact (1/2): As Colombia's largest company with ~13,000 employees, Ecopetrol has significant community impact through employment, tax revenue, and social investment programs. The company identifies 'Local Development' as a prioritized material issue in its TESG (Technology, ESG) framework [3]. Employee Retention (1/2): Glassdoor rating of 4.2/5 based on 241 reviews with 4.0 for culture and values and 3.9 for work-life balance indicates above-average employee satisfaction for the oil &amp; gas sector, suggesting adequate retention [3]. Insider Buying (0/2): As an ~88.5% state-owned enterprise, insider buying metrics are not applicable in the traditional sense. No evidence of meaningful discretionary purchases by non-government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stock metrics. Ecopetrol's standout strengths are its deeply discounted valuation — Forward P/E of 9.30 scores a perfect 1.0 against the 20x target — and strong H1 2026 revenue growth of 13% exceeding the 10% target, with Q2 alone surging 35% on elevated Brent ($97/bbl) [1][4]. D/E of 100% scores 0.87 against the 70% target. ROE of 11.8% scores 0.79 against the 15% target. Profit margin of 13.46% is solid but below the 20% ideal (0.67) [4]. The dividend profile is mixed: 19 consecutive years of payment scores perfectly at 2x weight, and the 5-year dividend growth CAGR of 45.3% (rebounding from a depressed post-COVID base) scores 1.0 at 2x weight. However, the payout ratio of 112% exceeds the 100% floor, scoring 0.0 — the government's fiscal extraction demands push dividends beyond current earnings capacity [4]. Consecutive years of growth at approximately 2 years is well below the 10-year target. Liquidity is ample at ~$29.8M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Ecopetrol plays a primarily finite game. As a state-owned enterprise, its strategic direction is heavily influenced by Colombian government priorities that shift with political cycles — a fundamentally finite constraint. The company has a national development mandate that provides purpose beyond quarterly earnings, and early energy transition investments show forward thinking. However, the ~88.5% government ownership creates structural governance challenges: CEO selection is political, the 112% payout ratio prioritizes government revenue extraction over long-term reinvestment, and strategic flexibility is constrained by sovereign fiscal needs [4].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Ecopetrol's implicit cause — energy security and economic development for Colombia — has elements of a higher purpose but is more of a national mandate than a visionary Just Cause. The cause shifts with government priorities; the current administration emphasizes energy transition while previous administrations focused on production growth [2][3]. It reads as institutional obligation rather than a cause that inspires sacrifice and sustained strategic commitment across leadership changes.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4.2/5 with 4.0 for culture and values indicates adequate organizational trust [3]. The workforce of ~13,000 is relatively stable, and the company provides above-average compensation by Colombian standards. However, political influence over leadership appointments and strategic direction (CEO selected by government board) introduces uncertainty that undermines deep organizational trust. The leadership change (CEO Roa since April 2023) was politically driven.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public communications. Ecopetrol's competitive language centers on production targets, margin improvements, and national market dominance rather than learning from global peers like Petrobras, YPF, or other national oil companies [2]. No management commentary referencing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Ecopetrol has taken incremental steps toward energy transition — investing 8% of capex in renewables, acquiring Brava Energia to diversify geographically, and establishing a technology innovation function [2][3]. However, these are measured evolutionary adaptations, not transformative reinvention. The company remains overwhelmingly an oil &amp; gas producer with 64% of capex directed to hydrocarbons and no evidence of willingness to fundamentally reinvent its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$5.4-6.7B annual investment plan and Brava Energia acquisition represent meaningful capital allocation decisions, and early energy transition investments (8% of capex) show willingness to invest for the long term despite political pressure to maximize near-term production [2]. However, the 112% payout ratio demonstrates that the government prioritizes dividend extraction over reinvestment — the opposite of courageous long-term capital allocation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Ecopetrol at 9.3x forward earnings offers deep value exposure to a recovering Colombian oil major riding elevated Brent prices ($97/bbl in Q2 2026). Q2 2026 results were exceptional — revenue surging 35% to COP 40.2T, EBITDA margin expanding to 44%, and net income exploding 235% to COP 6.1T [1]. H1 2026 delivered total EBITDA of COP 31.1T and net income of COP 9.0T, already approaching some full-year estimates. The Brava Energia acquisition (42K boe/d consolidating Q3 2026) adds production growth beyond the current 730-740 kboe/d guidance [2]. The ~4% dividend yield provides income while the stock trades at a significant discount to global integrated oil peers. For income investors willing to accept emerging market and commodity price risk, EC offers a compelling yield-plus-value combination at less than 10x forward earnings.</w:t>
      </w:r>
    </w:p>
    <w:p>
      <w:pPr>
        <w:spacing w:after="120"/>
      </w:pPr>
      <w:r>
        <w:rPr>
          <w:rFonts w:ascii="Calibri" w:hAnsi="Calibri"/>
          <w:b w:val="0"/>
          <w:color w:val="3A4A28"/>
          <w:sz w:val="20"/>
        </w:rPr>
        <w:t>The bear case centers on three structural risks: sovereign governance, commodity cyclicality, and dividend sustainability. The Colombian government's ~88.5% ownership means Ecopetrol's strategic direction is hostage to political priorities — energy transition mandates could constrain production growth while government dividend demands may be unsustainable [3]. The 112% payout ratio signals the dividend exceeds current earnings capacity, making it dependent on continued high oil prices; a sustained Brent decline below the $83/bbl planning assumption would compress both earnings and the dividend [2][4]. The 5-year history includes dramatic revenue and earnings swings tied to oil prices and COP/USD exchange rate movements (planning band COP 3,600-4,000). The H1 2026 revenue surge was substantially driven by Brent averaging $97/bbl — a level well above historical norms that may not persist. Infrastructure scored well (8/10) mechanically, but the 112% payout ratio floor (0.0 score) and only 2 consecutive years of dividend growth reveal structural income quality weaknesses beneath the headline valuation discount.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Brava Energia acquisition consolidating in Q3 2026, adding 42,000 boe/d of production and diversifying geographic exposure beyond Colombia — management reiterated full-year production guidance of 730-740 kboe/d [2]</w:t>
      </w:r>
    </w:p>
    <w:p>
      <w:pPr>
        <w:spacing w:before="40" w:after="40"/>
        <w:ind w:left="283"/>
      </w:pPr>
      <w:r>
        <w:rPr>
          <w:rFonts w:ascii="Calibri" w:hAnsi="Calibri"/>
          <w:b/>
          <w:color w:val="4A6B25"/>
          <w:sz w:val="20"/>
        </w:rPr>
        <w:t xml:space="preserve">2. </w:t>
      </w:r>
      <w:r>
        <w:rPr>
          <w:rFonts w:ascii="Calibri" w:hAnsi="Calibri"/>
          <w:b w:val="0"/>
          <w:color w:val="3A4A28"/>
          <w:sz w:val="20"/>
        </w:rPr>
        <w:t>Record refining margins and EBITDA expansion to 44% in Q2 2026 demonstrate operational leverage to elevated Brent prices ($97/bbl), with H1 net income of COP 9.0T exceeding many full-year estimates [1]</w:t>
      </w:r>
    </w:p>
    <w:p>
      <w:pPr>
        <w:spacing w:before="40" w:after="40"/>
        <w:ind w:left="283"/>
      </w:pPr>
      <w:r>
        <w:rPr>
          <w:rFonts w:ascii="Calibri" w:hAnsi="Calibri"/>
          <w:b/>
          <w:color w:val="4A6B25"/>
          <w:sz w:val="20"/>
        </w:rPr>
        <w:t xml:space="preserve">3. </w:t>
      </w:r>
      <w:r>
        <w:rPr>
          <w:rFonts w:ascii="Calibri" w:hAnsi="Calibri"/>
          <w:b w:val="0"/>
          <w:color w:val="3A4A28"/>
          <w:sz w:val="20"/>
        </w:rPr>
        <w:t>Forward P/E of 9.3x represents significant valuation discount to global integrated oil peers (Chevron ~12x, Shell ~8x), offering re-rating potential if sovereign governance risk is repriced lower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payout ratio of 112% exceeds earnings capacity, making the ~4% yield unsustainable without continued high oil prices — a Brent decline to $65-70/bbl would likely force a dividend cut as it did during previous oil downturns [4]</w:t>
      </w:r>
    </w:p>
    <w:p>
      <w:pPr>
        <w:spacing w:before="40" w:after="40"/>
        <w:ind w:left="283"/>
      </w:pPr>
      <w:r>
        <w:rPr>
          <w:rFonts w:ascii="Calibri" w:hAnsi="Calibri"/>
          <w:b/>
          <w:color w:val="4A6B25"/>
          <w:sz w:val="20"/>
        </w:rPr>
        <w:t xml:space="preserve">2. </w:t>
      </w:r>
      <w:r>
        <w:rPr>
          <w:rFonts w:ascii="Calibri" w:hAnsi="Calibri"/>
          <w:b w:val="0"/>
          <w:color w:val="3A4A28"/>
          <w:sz w:val="20"/>
        </w:rPr>
        <w:t>Colombian government ownership (~88.5%) subjects strategic decisions to political cycles — energy transition mandates could constrain production investment while government dividend extraction reduces capital available for growth [3]</w:t>
      </w:r>
    </w:p>
    <w:p>
      <w:pPr>
        <w:spacing w:before="40" w:after="40"/>
        <w:ind w:left="283"/>
      </w:pPr>
      <w:r>
        <w:rPr>
          <w:rFonts w:ascii="Calibri" w:hAnsi="Calibri"/>
          <w:b/>
          <w:color w:val="4A6B25"/>
          <w:sz w:val="20"/>
        </w:rPr>
        <w:t xml:space="preserve">3. </w:t>
      </w:r>
      <w:r>
        <w:rPr>
          <w:rFonts w:ascii="Calibri" w:hAnsi="Calibri"/>
          <w:b w:val="0"/>
          <w:color w:val="3A4A28"/>
          <w:sz w:val="20"/>
        </w:rPr>
        <w:t>Commodity and currency double exposure: revenue is oil-price-dependent while ADR investors face COP/USD depreciation risk within the COP 3,600-4,000 planning band, amplifying already-extreme earnings volatility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Ecopetrol's core business — drilling wells, operating refineries, transporting crude oil through 8,500+ km of pipeline infrastructure, and managing physical assets across Colombia — is structurally immune to AI displacement [1]. AI cannot extract oil from reservoirs, refine crude into gasoline, or transport hydrocarbons. The business requires massive physical capital, geological expertise, and regulatory compliance that AI augments but cannot replace. Furthermore, AI data center expansion is increasing global electricity demand, which benefits oil &amp; gas producers as part of the energy supply chain [3]. The slight deduction reflects that AI-driven energy efficiency improvements could reduce long-term oil demand. AI Opportunity (0/1): No evidence of AI-generated revenue. The company has a VP of Science, Technology, and Innovation but no commercial AI products or quantified AI revenue contributions have been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Ecopetrol Q2 2026 Earnings Release — Revenue COP 40.2T (+35% YoY), EBITDA COP 17.7T (44% margin), Net Income COP 6.1T (+235%), H1 Net Income COP 9.0T, Brent $97/bbl, Investing.com/Globe and Mail, August 2026</w:t>
      </w:r>
    </w:p>
    <w:p>
      <w:pPr>
        <w:spacing w:before="20" w:after="20"/>
        <w:ind w:left="170"/>
      </w:pPr>
      <w:r>
        <w:rPr>
          <w:rFonts w:ascii="Calibri" w:hAnsi="Calibri"/>
          <w:b/>
          <w:color w:val="4A6B25"/>
          <w:sz w:val="15"/>
        </w:rPr>
        <w:t xml:space="preserve">2. </w:t>
      </w:r>
      <w:r>
        <w:rPr>
          <w:rFonts w:ascii="Calibri" w:hAnsi="Calibri"/>
          <w:b w:val="0"/>
          <w:color w:val="3A4A28"/>
          <w:sz w:val="17"/>
        </w:rPr>
        <w:t>Ecopetrol Q1 2026 Earnings and Full-Year Guidance — Revenue COP 28.6T, EPS COP 2,190.69, Production Guidance 730-740 kboe/d, Investment Plan $5.4-6.7B, Brava Energia Consolidation Q3 2026 (+42K boe/d), TipRanks/SEC 6-K, May 2026</w:t>
      </w:r>
    </w:p>
    <w:p>
      <w:pPr>
        <w:spacing w:before="20" w:after="20"/>
        <w:ind w:left="170"/>
      </w:pPr>
      <w:r>
        <w:rPr>
          <w:rFonts w:ascii="Calibri" w:hAnsi="Calibri"/>
          <w:b/>
          <w:color w:val="4A6B25"/>
          <w:sz w:val="15"/>
        </w:rPr>
        <w:t xml:space="preserve">3. </w:t>
      </w:r>
      <w:r>
        <w:rPr>
          <w:rFonts w:ascii="Calibri" w:hAnsi="Calibri"/>
          <w:b w:val="0"/>
          <w:color w:val="3A4A28"/>
          <w:sz w:val="17"/>
        </w:rPr>
        <w:t>Ecopetrol Corporate Profile and ESG — CEO Ricardo Roa Barragan, ~13K Employees, ~88.5% Government Ownership, Glassdoor 4.2/5, TESG Framework, VP Science &amp; Innovation, ResourceGovernance.org/Glassdoor/Wikipedia,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Nasdaq, Dividend.com — EC ADR: Forward P/E 9.30, Trailing P/E 12.33, D/E 100%, ROE 11.8%, Profit Margin 13.46%, Dividend Yield ~4%, Payout Ratio 112%, 5yr Div Growth CAGR 45.3%, Average Volume 2.98M,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