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EDSA</w:t>
      </w:r>
      <w:r>
        <w:rPr>
          <w:rFonts w:ascii="Calibri" w:hAnsi="Calibri"/>
          <w:b/>
          <w:color w:val="1A2010"/>
          <w:sz w:val="40"/>
        </w:rPr>
        <w:t xml:space="preserve">  Edesa Biotech, Inc.</w:t>
      </w:r>
    </w:p>
    <w:p>
      <w:pPr>
        <w:spacing w:after="120"/>
      </w:pPr>
      <w:r>
        <w:rPr>
          <w:rFonts w:ascii="Calibri" w:hAnsi="Calibri"/>
          <w:b/>
          <w:color w:val="6E8450"/>
          <w:sz w:val="18"/>
        </w:rPr>
        <w:t>GROWTH SLEEVE · 2026-08-28 · Inspire: 35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NASDAQ · Canada</w:t>
      </w:r>
    </w:p>
    <w:p>
      <w:pPr>
        <w:spacing w:after="80"/>
      </w:pPr>
      <w:r>
        <w:rPr>
          <w:rFonts w:ascii="Calibri" w:hAnsi="Calibri"/>
          <w:b w:val="0"/>
          <w:color w:val="3A4A28"/>
          <w:sz w:val="20"/>
        </w:rPr>
        <w:t>Edesa Biotech is a clinical-stage biopharmaceutical company focused on developing therapies for inflammatory and immune-related diseases. The company's clinical pipeline includes two programs: paridiprubart, an anti-TLR4 antibody in Phase 3 for Acute Respiratory Distress Syndrome (ARDS), which showed significant mortality reductions and kidney function improvements in exploratory analyses; and EB06, an anti-CXCL10 monoclonal antibody entering Phase 2 for vitiligo. The company is pre-revenue with zero commercial products. Q3 FY2026 (ended June 2026) reported a net loss of $5.4M on operating expenses of $5.5M, with cash of $10.3M and working capital of $6.9M — approximately two quarters of runway at the current burn rate.</w:t>
      </w:r>
    </w:p>
    <w:p>
      <w:r>
        <w:rPr>
          <w:rFonts w:ascii="Calibri" w:hAnsi="Calibri"/>
          <w:b/>
          <w:color w:val="6E8450"/>
          <w:sz w:val="18"/>
        </w:rPr>
        <w:t>25 Employees · https://www.edesabiotech.com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Edesa's most significant achievement is the Phase 3 ARDS study with paridiprubart, where exploratory analyses showed significant mortality reductions and improvements in the kidney-specific MAKE30 endpoint in patients with concurrent acute kidney injury [1]. This represents a meaningful clinical milestone for a micro-cap biotech formed in 2015. However, no products have been commercialized, no revenue has been generated, and the company remains entirely dependent on clinical trial outcomes. AI Deployment (0/2): No AI deployment or AI strategy is evident in Edesa's operations or pipeline. The company operates as a traditional small-molecule/biologic drug developer without AI-enhanced drug discovery or development tools [2]. Market Share (0/2): Edesa is a pre-revenue clinical-stage company with no commercial products and therefore holds no market share in any therapeutic category [1]. Product Pipeline (1/2): The pipeline includes two programs with defined timelines: paridiprubart for ARDS (Phase 3 completed with exploratory results) and EB06 for vitiligo (Phase 2 trial sites being activated with patient recruitment expected to begin shortly) [1]. While timelines exist, both programs are years from potential commercialization and FDA approval. R&amp;D Intensity (1/1): As a clinical-stage biotech, virtually all of Edesa's operating expenses ($12.2M year-to-date) are directed toward R&amp;D and clinical development, representing R&amp;D intensity far above industry averages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Edesa's stated mission is to 'develop and commercialize innovative drug products that address unmet medical needs for large, underserved patient populations' [2]. This is specific to the company's therapeutic focus and connects its work to a genuine societal need (ARDS has 30-40% mortality with limited treatment options). The focus on 'underserved patient populations' differentiates from boilerplate pharma missions. However, the mission has not been validated by commercial execution or decades of consistency. Community Impact (0/2): No evidence of community investment programs, charitable initiatives, or philanthropy was found. Edesa is a micro-cap company with $10.3M in cash and no revenue, limiting its capacity for community investment beyond its clinical mission. Employee Retention (0/2): No data on employee retention, tenure, or satisfaction was found for this approximately 25-person organization. Insider Buying (0/2): No evidence of meaningful net insider buying by executives in the last 12 months was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severely limited available metrics. As a pre-revenue clinical-stage biotech, most standard financial metrics are either negative or not applicable. D/E is near zero (estimated ~5%, reflecting minimal debt for a company funded by equity offerings), which scores well on the debt metric [3]. However, ROE is deeply negative due to accumulated losses, and profit margin is meaningless for a company with zero revenue and $5.5M quarterly operating expenses [1]. Revenue growth metrics are not applicable (zero revenue in all periods). Forward P/E and PEG ratio are negative/undefined for an unprofitable company, so these are excluded from scoring. The critical concern is the extremely thin cash runway: $10.3M cash with $5.4M quarterly burn implies approximately two quarters of funding before additional capital is needed, creating existential dilution risk [1]. Liquidity clears the floor at ~$2.2M daily trading value (417K shares x $5.35), but barely.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Edesa Biotech is too early-stage and resource-constrained to meaningfully evaluate through an infinite game lens. The company was formed in 2015 by CEO Dr. Par Nijhawan, who brings 19 years of pharmaceutical experience and an entrepreneurial spirit that keeps the organization building [2]. However, with $10.3M in cash, approximately two quarters of runway, and no commercial products, Edesa is playing a survival game rather than an infinite game. The company has not been tested through market cycles or leadership transitions, and its ability to advance its Just Cause is entirely dependent on securing additional capital and achieving clinical success.</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Edesa's mission to address 'unmet medical needs for large, underserved patient populations' is genuine and connects the company's work to life-saving therapeutic areas (ARDS mortality is 30-40%) [2]. Dr. Nijhawan's 19-year track record in pharmaceutical development suggests personal commitment to the cause. However, the mission has not been validated through commercial execution, crisis, or leadership transition. Most clinical-stage biotechs articulate similar missions, and without proof of execution, the cause remains aspirational rather than proven.</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Edesa's description of its corporate culture as centered on 'an entrepreneurial spirit' and 'always building' suggests a small, committed team [2]. At approximately 25 employees, the organization is small enough for direct relationships between leadership and staff. CEO Dr. Nijhawan has led the company since its founding in 2015, providing leadership continuity. However, no specific evidence of exceptional trust, employee empowerment, or above-average retention was found.</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Edesa's competitive posture toward rivals was found in available materials. The company operates in specialized therapeutic niches (ARDS, vitiligo) where competition is from large pharma companies with vastly greater resources, but no management commentary on competitive dynamics or learning from rivals was identified.</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Edesa is an early-stage company that has not yet faced the test of existential flexibility. The company has maintained a consistent focus on anti-inflammatory and immune-related therapies since its founding in 2015, which could be interpreted as either strategic focus or an inability to pivot [2]. With only $10.3M in cash and two pipeline programs, the company lacks the resources to execute a strategic reinvention even if one were warranted.</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Dr. Nijhawan has led Edesa through the high-risk clinical development process for 11 years, pursuing difficult therapeutic indications (ARDS has a 30-40% mortality rate and limited treatment options) where clinical success would have meaningful patient impact [1][2]. Pursuing a Phase 3 ARDS study as a micro-cap biotech with limited resources demonstrates willingness to take on ambitious challenges. However, no evidence of a specific courageous decision that sacrificed near-term results for long-term capability was identified.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Edesa Biotech offers high-risk, high-reward exposure to two clinical-stage biologic programs in large underserved therapeutic areas. The Phase 3 ARDS study with paridiprubart showed significant mortality reductions and kidney function improvements in exploratory analyses — if these results translate into a confirmatory study, the addressable market for an effective ARDS therapy is substantial given the 30-40% mortality rate and absence of approved targeted treatments [1]. EB06 for vitiligo targets a large dermatology market as an alternative to topical steroids, with Phase 2 trial sites being activated and recruitment expected shortly [1]. At a market cap of ~$50M, even modest clinical success would represent a significant re-rating. The ALIGNED Inspire Impact Score (35) with no negative attributions makes EDSA accessible to faith-based mandates.</w:t>
      </w:r>
    </w:p>
    <w:p>
      <w:pPr>
        <w:spacing w:after="120"/>
      </w:pPr>
      <w:r>
        <w:rPr>
          <w:rFonts w:ascii="Calibri" w:hAnsi="Calibri"/>
          <w:b w:val="0"/>
          <w:color w:val="3A4A28"/>
          <w:sz w:val="20"/>
        </w:rPr>
        <w:t>The bear case is severe and existential. Edesa has $10.3M in cash with a $5.4M quarterly burn rate, implying approximately two quarters of runway before requiring additional capital raises that will dilute existing shareholders [1]. The 52-week range of $0.72 to $20.32 reflects extreme volatility characteristic of micro-cap biotechs dependent on binary clinical outcomes. Zero revenue, zero commercial products, and 11 years of operating losses with no clear path to profitability within the next 2-3 years define the risk profile. Clinical-stage biotechs have a &gt;90% historical failure rate in achieving FDA approval, and even positive exploratory analyses from the ARDS study do not guarantee confirmatory trial success. The approximately 25-person team and $50M market cap leave the company with minimal bargaining power in potential partnerships and limited ability to execute commercialization independently. Infrastructure score of 3 reflects the financial fragility: negative ROE, negative margins, and no revenue base to support operations.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Phase 2 EB06 vitiligo trial activation with patient recruitment expected to begin shortly, representing the next clinical data readout that could validate Edesa's dermatology platform and provide a near-term stock catalyst [1]</w:t>
      </w:r>
    </w:p>
    <w:p>
      <w:pPr>
        <w:spacing w:before="40" w:after="40"/>
        <w:ind w:left="283"/>
      </w:pPr>
      <w:r>
        <w:rPr>
          <w:rFonts w:ascii="Calibri" w:hAnsi="Calibri"/>
          <w:b/>
          <w:color w:val="4A6B25"/>
          <w:sz w:val="20"/>
        </w:rPr>
        <w:t xml:space="preserve">2. </w:t>
      </w:r>
      <w:r>
        <w:rPr>
          <w:rFonts w:ascii="Calibri" w:hAnsi="Calibri"/>
          <w:b w:val="0"/>
          <w:color w:val="3A4A28"/>
          <w:sz w:val="20"/>
        </w:rPr>
        <w:t>Confirmatory Phase 3 study design for paridiprubart in ARDS, building on exploratory data showing significant mortality reductions — a positive Phase 3 result in ARDS would address a critical unmet medical need and could drive transformative re-valuation [1]</w:t>
      </w:r>
    </w:p>
    <w:p>
      <w:pPr>
        <w:spacing w:before="40" w:after="40"/>
        <w:ind w:left="283"/>
      </w:pPr>
      <w:r>
        <w:rPr>
          <w:rFonts w:ascii="Calibri" w:hAnsi="Calibri"/>
          <w:b/>
          <w:color w:val="4A6B25"/>
          <w:sz w:val="20"/>
        </w:rPr>
        <w:t xml:space="preserve">3. </w:t>
      </w:r>
      <w:r>
        <w:rPr>
          <w:rFonts w:ascii="Calibri" w:hAnsi="Calibri"/>
          <w:b w:val="0"/>
          <w:color w:val="3A4A28"/>
          <w:sz w:val="20"/>
        </w:rPr>
        <w:t>Potential partnership or licensing agreement for the ARDS program with a larger pharmaceutical company, which would validate the clinical data, provide funding, and reduce the existential cash runway risk</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Cash runway of approximately two quarters ($10.3M cash vs $5.4M quarterly burn) creates near-term existential risk, requiring capital raises that will significantly dilute existing shareholders at the current depressed stock price [1]</w:t>
      </w:r>
    </w:p>
    <w:p>
      <w:pPr>
        <w:spacing w:before="40" w:after="40"/>
        <w:ind w:left="283"/>
      </w:pPr>
      <w:r>
        <w:rPr>
          <w:rFonts w:ascii="Calibri" w:hAnsi="Calibri"/>
          <w:b/>
          <w:color w:val="4A6B25"/>
          <w:sz w:val="20"/>
        </w:rPr>
        <w:t xml:space="preserve">2. </w:t>
      </w:r>
      <w:r>
        <w:rPr>
          <w:rFonts w:ascii="Calibri" w:hAnsi="Calibri"/>
          <w:b w:val="0"/>
          <w:color w:val="3A4A28"/>
          <w:sz w:val="20"/>
        </w:rPr>
        <w:t>Binary clinical trial outcomes mean the stock could lose 50-80% of its value on a negative Phase 2 vitiligo readout or failure to advance the ARDS program to a confirmatory study [1]</w:t>
      </w:r>
    </w:p>
    <w:p>
      <w:pPr>
        <w:spacing w:before="40" w:after="40"/>
        <w:ind w:left="283"/>
      </w:pPr>
      <w:r>
        <w:rPr>
          <w:rFonts w:ascii="Calibri" w:hAnsi="Calibri"/>
          <w:b/>
          <w:color w:val="4A6B25"/>
          <w:sz w:val="20"/>
        </w:rPr>
        <w:t xml:space="preserve">3. </w:t>
      </w:r>
      <w:r>
        <w:rPr>
          <w:rFonts w:ascii="Calibri" w:hAnsi="Calibri"/>
          <w:b w:val="0"/>
          <w:color w:val="3A4A28"/>
          <w:sz w:val="20"/>
        </w:rPr>
        <w:t>Micro-cap biotech with ~$50M market cap and no commercial infrastructure cannot independently commercialize a therapy if approved, creating dependency on partnership terms that may significantly reduce the economic value accruing to EDSA shareholders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Edesa's core business — developing novel biologic therapies through FDA-regulated clinical trials — is structurally protected from AI disruption. The drug development process requires physical clinical trials with human subjects, FDA regulatory review cycles measured in years, GMP manufacturing of biological molecules, and physician-supervised patient care that AI cannot substitute [2]. The regulatory moat (FDA approval, CLIA requirements, patent protection) creates a structural barrier that AI cannot bypass regardless of capability advances. However, AI-enhanced drug discovery at larger competitors could accelerate the development of competing therapies, and AI-powered clinical trial optimization could reduce Edesa's timeline advantage if competitors adopt these tools more effectively. As a micro-cap biotech, Edesa lacks the resources to deploy AI in its own development processes. AI Opportunity (0/1): Edesa does not generate any AI-related revenue and has no AI products or AI-enhanced services in its pipeline or operations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35</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Product Safety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Edesa Biotech Q3 FY2026 Results — Net Loss $5.4M, Cash $10.3M, Working Capital $6.9M, Operating Expenses $12.2M YTD, Phase 2 EB06 Vitiligo Sites Activating, July 2026</w:t>
      </w:r>
    </w:p>
    <w:p>
      <w:pPr>
        <w:spacing w:before="20" w:after="20"/>
        <w:ind w:left="170"/>
      </w:pPr>
      <w:r>
        <w:rPr>
          <w:rFonts w:ascii="Calibri" w:hAnsi="Calibri"/>
          <w:b/>
          <w:color w:val="4A6B25"/>
          <w:sz w:val="15"/>
        </w:rPr>
        <w:t xml:space="preserve">2. </w:t>
      </w:r>
      <w:r>
        <w:rPr>
          <w:rFonts w:ascii="Calibri" w:hAnsi="Calibri"/>
          <w:b w:val="0"/>
          <w:color w:val="3A4A28"/>
          <w:sz w:val="17"/>
        </w:rPr>
        <w:t>Edesa Biotech Pipeline and Leadership — CEO Dr. Par Nijhawan (Founded 2015), Paridiprubart ARDS Phase 3 Exploratory Results, ATS 2026 Respiratory Innovation Summit Presentation, 2026</w:t>
      </w:r>
    </w:p>
    <w:p>
      <w:pPr>
        <w:spacing w:before="20" w:after="20"/>
        <w:ind w:left="170"/>
      </w:pPr>
      <w:r>
        <w:rPr>
          <w:rFonts w:ascii="Calibri" w:hAnsi="Calibri"/>
          <w:b/>
          <w:color w:val="4A6B25"/>
          <w:sz w:val="15"/>
        </w:rPr>
        <w:t xml:space="preserve">3. </w:t>
      </w:r>
      <w:r>
        <w:rPr>
          <w:rFonts w:ascii="Calibri" w:hAnsi="Calibri"/>
          <w:b w:val="0"/>
          <w:color w:val="3A4A28"/>
          <w:sz w:val="17"/>
        </w:rPr>
        <w:t>Yahoo Finance, StockAnalysis, CNBC — EDSA Key Statistics: Stock Price $5.35, Market Cap ~$50M, Avg Daily Volume 417K, 52-Week Range $0.72-$20.32, accessed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