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EFC</w:t>
      </w:r>
      <w:r>
        <w:rPr>
          <w:rFonts w:ascii="Calibri" w:hAnsi="Calibri"/>
          <w:b/>
          <w:color w:val="1A2010"/>
          <w:sz w:val="40"/>
        </w:rPr>
        <w:t xml:space="preserve">  Ellington Financial Inc.</w:t>
      </w:r>
    </w:p>
    <w:p>
      <w:pPr>
        <w:spacing w:after="120"/>
      </w:pPr>
      <w:r>
        <w:rPr>
          <w:rFonts w:ascii="Calibri" w:hAnsi="Calibri"/>
          <w:b/>
          <w:color w:val="6E8450"/>
          <w:sz w:val="18"/>
        </w:rPr>
        <w:t>DIVIDEND SLEEVE · 2026-09-10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Mortgage Finance · NYSE · United States</w:t>
      </w:r>
    </w:p>
    <w:p>
      <w:pPr>
        <w:spacing w:after="80"/>
      </w:pPr>
      <w:r>
        <w:rPr>
          <w:rFonts w:ascii="Calibri" w:hAnsi="Calibri"/>
          <w:b w:val="0"/>
          <w:color w:val="3A4A28"/>
          <w:sz w:val="20"/>
        </w:rPr>
        <w:t>Ellington Financial is a specialty finance company that acquires and manages a diversified portfolio of financial assets including residential mortgage loans, commercial mortgage loans, reverse mortgage loans, consumer loans, and mortgage-backed securities. The company is externally managed and advised by Ellington Financial Management LLC, an affiliate of Ellington Management Group, a quantitative investment manager founded in 1994. EFC expanded significantly through its acquisitions of Arlington Asset Investment Corp. in 2023 and Great Ajax Corp. in 2024.</w:t>
      </w:r>
    </w:p>
    <w:p>
      <w:r>
        <w:rPr>
          <w:rFonts w:ascii="Calibri" w:hAnsi="Calibri"/>
          <w:b/>
          <w:color w:val="6E8450"/>
          <w:sz w:val="18"/>
        </w:rPr>
        <w:t>100 Employees · https://www.ellingtonfinancial.com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EFC completed transformational acquisitions of Arlington Asset Investment Corp. (2023) and Great Ajax Corp. (2024), diversifying its portfolio from a primarily agency MBS-focused strategy into a broader credit platform spanning residential, commercial, and consumer loans [1]. This represents meaningful business model evolution, though acquisition-driven growth is common among mortgage REITs rather than genuinely innovative. AI Deployment (0/2): No AI products, platforms, or quantified AI-driven efficiency gains have been disclosed; EFC's investment process relies on Ellington Management Group's quantitative models but these predate the AI era [2]. Market Share (0/2): EFC is a mid-sized mortgage REIT with a market cap of approximately $1.4B, far smaller than category leaders like Annaly Capital ($10B+) or AGNC Investment ($7B+); the company is a meaningful participant but not a market share leader [1]. Pipeline (0/2): No next-generation products or specific growth pipeline beyond general portfolio expansion have been disclosed; the investment strategy is opportunistic rather than product-driven [1]. R&amp;D Intensity (0/1): Financial companies do not have traditional R&amp;D expenditures, and EFC's external management structure means innovation spending, if any, resides at Ellington Management Group.</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Ellington Management Group's stated purpose is 'Protecting and Growing Institutional Capital Across Credit Cycles' — a clear description of the business but entirely functional and interchangeable with any competing asset manager, with no articulation of a purpose beyond financial returns [2]. Community Impact (0/2): EFC is a UN PRI signatory through its parent Ellington Management Group and has general ESG policies, but no specific charitable programs, foundation, or distinctive community investment initiatives were identified [3]. Employee Retention (2/2): CEO Larry Penn has served since August 2007, an extraordinary tenure of 18.7 years through the Global Financial Crisis, COVID, and multiple credit cycles; the management team averages 10.8 years of tenure and the board averages 18.7 years, signaling deep institutional commitment and stability [2]. Insider Buying (0/2): No specific data on net insider buying or selling by EFC executives was found in available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EFC's financial profile reflects the leveraged nature of mortgage REIT operations with strong profitability offset by extreme leverage and historically weak dividend coverage. H1 2026 net income surged to $149.9M ($1.21/share) from $74.6M ($0.80/share) a year earlier, and Q2 2026 adjusted distributable earnings of $0.60/share beat the $0.46 estimate [1]. Forward P/E of 7.10x and TTM profit margin of 53.39% appear attractive, but the 906% D/E ratio remains extreme [4]. TTM revenue surged 39.18% to $498M driven by scale benefits from the Arlington and Great Ajax acquisitions. The payout ratio has improved from 117% to approximately 90% on trailing GAAP earnings as the earnings base expands, though coverage remains thin. Mechanically scored (Dividend): D/E 906% scores 0.0 (1x), ROE 12.18% scores 0.81 (1x), Revenue Growth YoY 39.18% scores 1.0 (1x), Revenue Growth 5yr CAGR excluded as null, Forward P/E 7.10 scores 1.0 (1x), Profit Margin 53.39% scores 1.0 (1x), Payout Ratio 90% scores 0.17 (1x), Consecutive Years Paid 16 scores 1.0 (2x), Consecutive Years Growth 0 scores 0.0 (1x), 5yr Dividend Growth CAGR -5% scores 0.0 (2x). Weighted sum = 5.98, max weighted sum = 11 (excluding 5yr CAGR), score = 5.44, rounds to 5. Liquidity cleared: 1.5M avg vol x $13.44 = $20.2M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Ellington Financial operates with a fundamentally finite mindset oriented around financial returns rather than a purpose beyond profit. The company's external management structure, lack of articulated mission beyond capital preservation, and focus on opportunistic credit investing reflect a transactional approach to business. The exceptional management tenure provides stability, but without a Just Cause, EFC optimizes quarter-to-quarter rather than building for permanence.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EFC exists to 'protect and grow institutional capital across credit cycles' — a description of what it does, not why it exists. There is no articulated vision of a better future, no purpose beyond generating returns for investors, and no evidence that strategic decisions are guided by anything other than risk-adjusted yield optimization [2]. The external management structure reinforces the transactional nature — the manager is compensated on AUM, not on advancing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exceptional leadership stability at EFC — CEO Larry Penn's 18.7-year tenure, management team averaging 10.8 years, board averaging 18.7 years — signals organizational trust and continuity [2]. People stay at Ellington for extended periods, suggesting a functional and collegial working environment. However, the external management structure means EFC's workforce is effectively borrowed from Ellington Management Group, making traditional trust-building within the company itself difficult to assess.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EFC operates in a crowded mortgage REIT space alongside Annaly Capital, AGNC Investment, and others, but no evidence was found of management acknowledging competitors' strengths or using competitive dynamics as motivation for self-improvement. The competitive language, where present, focuses on EFC's own portfolio differentiation rather than learning from rivals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EFC has meaningfully evolved its business model over the past five years, expanding from a primarily agency MBS-focused strategy into a diversified credit platform through the acquisitions of Arlington Asset (2023) and Great Ajax (2024), adding residential transition loans, commercial mortgage bridge loans, and other credit strategies [1]. This diversification demonstrates strategic adaptability. However, the changes were incremental portfolio expansion rather than a transformative reinvention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Larry Penn navigated EFC through the 2008 Global Financial Crisis, the 2020 COVID-driven mortgage market dislocation, and executed two significant acquisitions (Arlington 2023, Great Ajax 2024) to transform the company's credit platform [1][2]. Maintaining the company through multiple credit cycles while expanding into new strategies demonstrates some willingness to invest for the long term. However, the external management structure creates inherent conflicts of interest (management fees grow with AUM, not performance), and no examples of sacrificing near-term revenue for long-term capability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Ellington Financial offers an attractive 11.75% dividend yield trading at $13.44 with a low forward P/E of 7.10x [4]. H1 2026 demonstrated strong momentum with net income of $149.9M ($1.21/share), doubling from $74.6M ($0.80/share) a year earlier, while Q2 adjusted distributable earnings of $0.60/share beat the $0.46 consensus estimate [1]. TTM revenue surged 39.18% to $498M as the diversified credit platform from the Arlington and Great Ajax acquisitions scales, and TTM profit margin expanded to 53.39% [4]. CEO Larry Penn's 18.7-year tenure through multiple credit cycles provides leadership continuity, and the parent Ellington Management Group's quantitative expertise underpins disciplined risk management. The improving earnings trajectory has brought the payout ratio down from 117% to approximately 90%, suggesting the dividend may be approaching sustainability [1].</w:t>
      </w:r>
    </w:p>
    <w:p>
      <w:pPr>
        <w:spacing w:after="120"/>
      </w:pPr>
      <w:r>
        <w:rPr>
          <w:rFonts w:ascii="Calibri" w:hAnsi="Calibri"/>
          <w:b w:val="0"/>
          <w:color w:val="3A4A28"/>
          <w:sz w:val="20"/>
        </w:rPr>
        <w:t>The bear case remains substantial and structural. Despite the improving earnings trajectory, the 90% GAAP payout ratio still leaves minimal cushion — the 5-year dividend growth CAGR of -5% confirms an ongoing pattern of reductions, and any credit cycle downturn could quickly push payout above 100% again [4]. The 906% D/E ratio, while typical for leveraged mortgage REITs, creates extreme sensitivity to interest rate movements and credit spreads; even modest rate volatility can whipsaw book value and earnings. The external management structure creates inherent conflicts of interest — Ellington Management Group earns fees based on AUM rather than shareholder returns, incentivizing asset growth over capital efficiency [2][3]. Revenue for mortgage REITs is inherently volatile and dependent on the shape of the yield curve, credit spreads, and prepayment speeds — metrics that can swing violently in any direction. The 107% Q1 2026 revenue surge and 39% TTM growth partly reflect the Great Ajax acquisition completed in 2024 rather than organic growth, and the sustainability of this pace is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H1 2026 earnings doubled to $1.21/share with Q2 adjusted distributable earnings of $0.60 beating estimates by 30%, suggesting the diversified credit platform from Arlington and Great Ajax acquisitions is generating scale benefits and improving dividend coverage [1]</w:t>
      </w:r>
    </w:p>
    <w:p>
      <w:pPr>
        <w:spacing w:before="40" w:after="40"/>
        <w:ind w:left="283"/>
      </w:pPr>
      <w:r>
        <w:rPr>
          <w:rFonts w:ascii="Calibri" w:hAnsi="Calibri"/>
          <w:b/>
          <w:color w:val="4A6B25"/>
          <w:sz w:val="20"/>
        </w:rPr>
        <w:t xml:space="preserve">2. </w:t>
      </w:r>
      <w:r>
        <w:rPr>
          <w:rFonts w:ascii="Calibri" w:hAnsi="Calibri"/>
          <w:b w:val="0"/>
          <w:color w:val="3A4A28"/>
          <w:sz w:val="20"/>
        </w:rPr>
        <w:t>TTM revenue growth of 39.18% to $498M and profit margin expansion to 53.39% demonstrate the enlarged platform is producing meaningful operating leverage [4]</w:t>
      </w:r>
    </w:p>
    <w:p>
      <w:pPr>
        <w:spacing w:before="40" w:after="40"/>
        <w:ind w:left="283"/>
      </w:pPr>
      <w:r>
        <w:rPr>
          <w:rFonts w:ascii="Calibri" w:hAnsi="Calibri"/>
          <w:b/>
          <w:color w:val="4A6B25"/>
          <w:sz w:val="20"/>
        </w:rPr>
        <w:t xml:space="preserve">3. </w:t>
      </w:r>
      <w:r>
        <w:rPr>
          <w:rFonts w:ascii="Calibri" w:hAnsi="Calibri"/>
          <w:b w:val="0"/>
          <w:color w:val="3A4A28"/>
          <w:sz w:val="20"/>
        </w:rPr>
        <w:t>Potential for interest rate cuts or yield curve steepening could significantly boost mortgage REIT earnings by widening net interest margins across the expanded loan portfolio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Despite improving to 90%, the GAAP payout ratio remains precarious with a negative 5-year dividend growth CAGR of -5% — any credit cycle deterioration could quickly push payout above 100% and trigger another dividend cut [4]</w:t>
      </w:r>
    </w:p>
    <w:p>
      <w:pPr>
        <w:spacing w:before="40" w:after="40"/>
        <w:ind w:left="283"/>
      </w:pPr>
      <w:r>
        <w:rPr>
          <w:rFonts w:ascii="Calibri" w:hAnsi="Calibri"/>
          <w:b/>
          <w:color w:val="4A6B25"/>
          <w:sz w:val="20"/>
        </w:rPr>
        <w:t xml:space="preserve">2. </w:t>
      </w:r>
      <w:r>
        <w:rPr>
          <w:rFonts w:ascii="Calibri" w:hAnsi="Calibri"/>
          <w:b w:val="0"/>
          <w:color w:val="3A4A28"/>
          <w:sz w:val="20"/>
        </w:rPr>
        <w:t>Extreme leverage at 906% D/E (including non-recourse securitization debt) creates acute sensitivity to interest rate movements, credit spread widening, and liquidity disruptions that could rapidly erode book value [4]</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structure creates structural conflict of interest — Ellington Management Group earns fees on AUM rather than performance, incentivizing asset growth and acquisitions that may not maximize shareholder returns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EFC's core business of acquiring and managing credit assets through quantitative investment strategies faces moderate AI exposure. AI could enhance credit analytics, underwriting, and portfolio management — creating competitive pressure from AI-native lending platforms — but the capital-intensive nature of mortgage REIT operations, regulatory requirements, and the need for balance sheet capacity create meaningful defensive moats [1][2]. EFC's parent Ellington Management Group already employs quantitative models, and the transition to AI-enhanced analytics represents evolution rather than disruption. The company's diversified credit portfolio across residential, commercial, and consumer loans provides resilience, though AI-driven automated underwriting platforms could eventually compress lending spreads. AI Opportunity (0/1): EFC does not generate revenue from AI products or services; while the parent Ellington Management Group may use advanced analytics, no specific AI-driven revenue contribution or quantified efficiency gains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Ellington Financial H1 2026 Earnings — Q1 net income $95.5M ($0.78/share), Q2 adjusted distributable earnings $0.60/share (beat $0.46 estimate), H1 net income $149.9M ($1.21/share) vs $74.6M ($0.80/share) prior year, TTM revenue $498M (+39.18%), May-August 2026</w:t>
      </w:r>
    </w:p>
    <w:p>
      <w:pPr>
        <w:spacing w:before="20" w:after="20"/>
        <w:ind w:left="170"/>
      </w:pPr>
      <w:r>
        <w:rPr>
          <w:rFonts w:ascii="Calibri" w:hAnsi="Calibri"/>
          <w:b/>
          <w:color w:val="4A6B25"/>
          <w:sz w:val="15"/>
        </w:rPr>
        <w:t xml:space="preserve">2. </w:t>
      </w:r>
      <w:r>
        <w:rPr>
          <w:rFonts w:ascii="Calibri" w:hAnsi="Calibri"/>
          <w:b w:val="0"/>
          <w:color w:val="3A4A28"/>
          <w:sz w:val="17"/>
        </w:rPr>
        <w:t>Ellington Financial Leadership and Management — CEO Larry Penn 18.7-year tenure, management team avg tenure 10.8 years, board avg tenure 18.7 years, externally managed by Ellington Management Group (founded 1994), July 2026</w:t>
      </w:r>
    </w:p>
    <w:p>
      <w:pPr>
        <w:spacing w:before="20" w:after="20"/>
        <w:ind w:left="170"/>
      </w:pPr>
      <w:r>
        <w:rPr>
          <w:rFonts w:ascii="Calibri" w:hAnsi="Calibri"/>
          <w:b/>
          <w:color w:val="4A6B25"/>
          <w:sz w:val="15"/>
        </w:rPr>
        <w:t xml:space="preserve">3. </w:t>
      </w:r>
      <w:r>
        <w:rPr>
          <w:rFonts w:ascii="Calibri" w:hAnsi="Calibri"/>
          <w:b w:val="0"/>
          <w:color w:val="3A4A28"/>
          <w:sz w:val="17"/>
        </w:rPr>
        <w:t>Ellington Financial ESG and Governance — UN PRI signatory, responsible investment policy, ESG factors in investment process, SEC ESG task force risk disclosure, 2024-2026</w:t>
      </w:r>
    </w:p>
    <w:p>
      <w:pPr>
        <w:spacing w:before="20" w:after="20"/>
        <w:ind w:left="170"/>
      </w:pPr>
      <w:r>
        <w:rPr>
          <w:rFonts w:ascii="Calibri" w:hAnsi="Calibri"/>
          <w:b/>
          <w:color w:val="4A6B25"/>
          <w:sz w:val="15"/>
        </w:rPr>
        <w:t xml:space="preserve">4. </w:t>
      </w:r>
      <w:r>
        <w:rPr>
          <w:rFonts w:ascii="Calibri" w:hAnsi="Calibri"/>
          <w:b w:val="0"/>
          <w:color w:val="3A4A28"/>
          <w:sz w:val="17"/>
        </w:rPr>
        <w:t>Ellington Financial Valuation and Dividend — stock $13.44, PE 7.78, Forward PE 7.10, D/E 906%, ROE 12.18%, profit margin 53.39%, dividend yield 11.75%, payout ratio ~90%,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