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ELAN</w:t>
      </w:r>
      <w:r>
        <w:rPr>
          <w:rFonts w:ascii="Calibri" w:hAnsi="Calibri"/>
          <w:b/>
          <w:color w:val="1A2010"/>
          <w:sz w:val="40"/>
        </w:rPr>
        <w:t xml:space="preserve">  Elanco Animal Health Incorporated</w:t>
      </w:r>
    </w:p>
    <w:p>
      <w:pPr>
        <w:spacing w:after="120"/>
      </w:pPr>
      <w:r>
        <w:rPr>
          <w:rFonts w:ascii="Calibri" w:hAnsi="Calibri"/>
          <w:b/>
          <w:color w:val="6E8450"/>
          <w:sz w:val="18"/>
        </w:rPr>
        <w:t>GROWTH SLEEVE · 2026-08-25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Veterinary Pharmaceuticals · NYSE · United States</w:t>
      </w:r>
    </w:p>
    <w:p>
      <w:pPr>
        <w:spacing w:after="80"/>
      </w:pPr>
      <w:r>
        <w:rPr>
          <w:rFonts w:ascii="Calibri" w:hAnsi="Calibri"/>
          <w:b w:val="0"/>
          <w:color w:val="3A4A28"/>
          <w:sz w:val="20"/>
        </w:rPr>
        <w:t>Elanco Animal Health develops, manufactures, and markets animal health products for companion animals (pet health) and food animals (farm animal) worldwide, offering parasiticides, vaccines, antibiotics, and therapeutics across 19 species in nearly 100 countries. Spun off from Eli Lilly in 2018, acquired Bayer Animal Health in 2020. Q2 2026 revenue of $1.37B (+10% reported) with raised full-year guidance to $5.09-5.14B and adjusted EPS of $1.10-1.16 (+20% YoY). Zenrelia and Credelio Quattro both achieved blockbuster status.</w:t>
      </w:r>
    </w:p>
    <w:p>
      <w:r>
        <w:rPr>
          <w:rFonts w:ascii="Calibri" w:hAnsi="Calibri"/>
          <w:b/>
          <w:color w:val="6E8450"/>
          <w:sz w:val="18"/>
        </w:rPr>
        <w:t>9,900 Employees · https://www.elanco.com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Elanco has executed two transformative strategic moves — the $5.6B Bayer Animal Health acquisition (2020) and a strong innovation cycle with two products reaching blockbuster status. Zenrelia was the single largest contributor to Q2 2026 global growth, achieving blockbuster status with over 2 million dogs treated and U.S. JAK market share up 9 points YoY [1]. Credelio Quattro also reached blockbuster status with broad parasite protection leadership. Innovation revenue target raised to $1.25B for FY2026 [1]. AI Deployment (0/2): No AI-powered products shipping to customers and no quantified AI-driven cost savings. Bobby Modi leads Global Digital Transformation and Elanco has acknowledged AI as strategic, but no deployed AI products or measurable AI results exist [2]. Market Share (1/2): Elanco is the #2 global animal health company behind Zoetis, named Animal Health Company of the Year 2025 by S&amp;P Global. U.S. JAK market share gained 9 points YoY with Zenrelia, and key European markets show 40%+ JAK share [1]. However, Zoetis remains dominant overall. Product Pipeline (2/2): Seven potential blockbuster launches identified through 2032 (TD Cowen), including Befrena U.S. launch, Credelio Quattro international expansion, and Advantage Collar. Elanco Ventures launched with $25M multi-year commitment to accelerate early-stage innovation [2][3]. R&amp;D Intensity (0/1): R&amp;D spending data not disclosed at a level confirming top-quartile positioning for the animal health sector. Elanco Ventures is incremental.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Elanco's purpose — 'Food and Companionship Enriching Life' — is specific and thoughtful, connecting animal health to the larger purpose of making life better for animals, people, and the planet [4]. CEO Jeff Simmons, with 15+ years leading the organization, consistently references this purpose in strategic decisions. The 'Healthy Purpose' ESG framework (Healthier Animals, People, Planet, Enterprise) integrates purpose into operations. The $400M U.S. investment commitment (December 2025) demonstrates purpose-driven resource allocation. However, as an independent company only since 2018, the purpose has not been validated through decades of execution. Community Impact (2/2): Named to Newsweek's America's Most Charitable Companies 2026 for the first time [5]. The Elanco Foundation has served over 151 million meals since March 2020. The 2025 Impact Report demonstrates measurable social impact aligned with the company's health purpose. Specific, distinctive, and quantified community investment [5]. Employee Retention (0/2): No specific voluntary turnover rates or tenure data publicly available despite 9,900 employees. Insider Buying (2/2): Exceptional insider conviction — $1.7M in aggregate insider purchases over the past year with zero selling activity. CEO Jeff Simmons ($478K December 2025, $100K May 2026), CFO VanHimbergen ($150K December 2025), and GC Shiv O'Neill (3,998 shares at $23.58 August 2026) all bought in open market [6]. Multiple C-suite executives putting meaningful personal capital in with no offsetting sales is a rare and powerful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Significant improvement from the June screen as GAAP profitability has turned positive. D/E of 69% is just below the 70% target (scoring 1.0), reflecting continued deleveraging to 3.1x net leverage [1][7]. ROE has improved to 6.01% from -3.77% in the prior screen (scoring 0.40 with 2x weight) — a milestone as GAAP profitability emerges. Revenue growth YoY of 8% on organic CC basis (10% reported) approaches the 10% target [1]. Forward P/E compressed to 18.17 from 22.72, now below the 20 target (scoring 1.0), reflecting both stock repricing and raised earnings guidance of $1.10-1.16 adjusted EPS (+20% YoY) [7]. Profit margin of 0.78% is barely positive but represents a meaningful inflection from -4.95% (scoring 0.04). Forward PEG of 1.55 scores 0.73 with 2x weight. Main drag is 5-year revenue CAGR of ~7.6% (2020-2025 including Bayer acquisition ramp) scoring 0.84 with 2x weight — organic 5-year growth is lower. Adjusted EBITDA raised to $1.01-1.035B (margin ~20%) demonstrates strong underlying profitability trajectory. Liquidity excellent at $230M+ daily dollar volume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Elanco under Jeff Simmons shows genuine infinite game characteristics — a clear and lived purpose ('Food and Companionship Enriching Life'), willingness to maintain innovation investment through challenging financial periods, and competitive language focused on improving animal health outcomes rather than destroying rivals. The exceptional insider buying ($1.7M with zero selling) from multiple executives signals leadership alignment with the long-term story. However, as an independent company only since 2018, Elanco has not been tested through the multi-decade consistency that defines the strongest infinite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Elanco's purpose — 'Food and Companionship Enriching Life' — is a genuine cause that connects animal health to broader human well-being [4]. CEO Jeff Simmons has led the organization for 15+ years and consistently references this purpose, from the Bayer acquisition to the Elanco Ventures launch to the $400M U.S. investment commitment. The 'Healthy Purpose' framework integrates the cause into operations. However, as an independent company only since 2018, the cause has not been tested through decades of consistency across multiple crises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Elanco benefits from Jeff Simmons' 15-year leadership tenure providing stability and consistency. The company emphasizes people-focused leadership selection, inclusion, and employee well-being [4]. The unanimous insider buying (zero selling among any executive) suggests strong organizational alignment. However, no specific voluntary turnover, tenure data, or exceptional cultural practices indicating above-average trust were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Elanco's competitive language consistently focuses on innovation-led growth and improving animal health outcomes rather than defeating Zoetis or other competitors [1][3]. CEO Simmons' public commentary emphasizes advancing the animal health industry. The focus on 'innovation revenue' targets and product pipeline milestones — rather than market share battles — demonstrates an infinite competitive mindset oriented toward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Elanco has demonstrated meaningful strategic flexibility — the separation from Eli Lilly (2018), the $5.6B Bayer acquisition (2020) that fundamentally rebalanced between pet and farm animal segments, and the Elanco Ventures launch ($25M for emerging technologies) [3][4]. These show strategic evolution, but are incremental transformations within the same industry rather than the radical business model reinvention that earns a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Elanco has shown courage in maintaining significant innovation investment despite near-term financial pressure — raising the innovation revenue target to $1.25B while managing a $4B+ debt load from the Bayer acquisition [1]. The $5.6B Bayer deal was a bold bet that took leverage to 3.6x EBITDA. CEO Simmons' $578K in personal stock purchases during price weakness and the $400M U.S. investment commitment demonstrate conviction. However, no evidence of walking away from profitable but misaligned businesses or making clearly costly purpose-driven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Elanco delivered a strong Q2 2026 with revenue of $1.37B (+10% reported, +8% organic CC) and adjusted EPS of $0.34 beating consensus by 26%, driving raised full-year guidance to $5.09-5.14B revenue and $1.10-1.16 adjusted EPS (+20% YoY) [1]. The innovation engine is firing — Zenrelia achieved blockbuster status as the largest single growth contributor (2M+ dogs treated, U.S. JAK share up 9 points), and Credelio Quattro also reached blockbuster status [1]. Adjusted EBITDA guidance raised to $1.01-1.035B implies 13% growth and ~20% margins, while net leverage improved to 3.1x. The GAAP profitability inflection (ROE turning positive at 6.01% from -3.77%, profit margin at +0.78% from -4.95%) is a significant milestone. At 18.2x forward earnings, Elanco trades at an attractive valuation for an animal health company with blockbuster pipeline, secular tailwinds (pet humanization, protein demand), and exceptional insider conviction ($1.7M purchases, zero selling) [6][7].</w:t>
      </w:r>
    </w:p>
    <w:p>
      <w:pPr>
        <w:spacing w:after="120"/>
      </w:pPr>
      <w:r>
        <w:rPr>
          <w:rFonts w:ascii="Calibri" w:hAnsi="Calibri"/>
          <w:b w:val="0"/>
          <w:color w:val="3A4A28"/>
          <w:sz w:val="20"/>
        </w:rPr>
        <w:t>Despite the improving trajectory, risks remain material. The GAAP profit margin of 0.78% is barely positive, and the $4B+ gross debt load creates ongoing interest expense pressure that could reverse GAAP profitability in any quarter with restructuring or impairment charges [7]. While adjusted metrics paint a strong picture (20% EPS growth), the gap between adjusted and GAAP earnings raises quality concerns. The 5-year revenue CAGR of ~7.6% overstates organic growth due to the 2020 Bayer acquisition's one-time revenue step-up — underlying organic growth is closer to low-single-digits. Competitive pressure from Zoetis and Boehringer Ingelheim remains intense in both pet and farm segments. The Inspire Impact Score of -49 (MISALIGNED) eliminates allocation for faith-based mandates. Forward PEG of 1.55 prices in continued innovation success, leaving limited margin of safety if any of the seven expected blockbuster launches disappoint or face generic competition [3][7].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Seven potential blockbuster product launches supporting 5%+ revenue growth through 2032 (TD Cowen), including Befrena U.S. commercialization, Credelio Quattro international expansion to Australia and Canada, and Advantage Collar for four-month flea/tick protection [3]</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inflection — ROE turning positive (6.01%) and net leverage declining to 3.1x create a path toward sustainable GAAP earnings that could unlock a re-rating from 'turnaround' to 'compounder' valuation multiple [1][7]</w:t>
      </w:r>
    </w:p>
    <w:p>
      <w:pPr>
        <w:spacing w:before="40" w:after="40"/>
        <w:ind w:left="283"/>
      </w:pPr>
      <w:r>
        <w:rPr>
          <w:rFonts w:ascii="Calibri" w:hAnsi="Calibri"/>
          <w:b/>
          <w:color w:val="4A6B25"/>
          <w:sz w:val="20"/>
        </w:rPr>
        <w:t xml:space="preserve">3. </w:t>
      </w:r>
      <w:r>
        <w:rPr>
          <w:rFonts w:ascii="Calibri" w:hAnsi="Calibri"/>
          <w:b w:val="0"/>
          <w:color w:val="3A4A28"/>
          <w:sz w:val="20"/>
        </w:rPr>
        <w:t>Adjusted EBITDA crossing $1B (raised guidance to $1.01-1.035B) represents a significant margin milestone, with innovation-driven mix shift toward higher-margin products like Zenrelia expanding gross margins to 58.1%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 margin of 0.78% is fragile — any restructuring charge, impairment, or operational setback could reverse GAAP profitability, and the $4B+ gross debt load means interest expense alone consumes significant operating cash flow [7]</w:t>
      </w:r>
    </w:p>
    <w:p>
      <w:pPr>
        <w:spacing w:before="40" w:after="40"/>
        <w:ind w:left="283"/>
      </w:pPr>
      <w:r>
        <w:rPr>
          <w:rFonts w:ascii="Calibri" w:hAnsi="Calibri"/>
          <w:b/>
          <w:color w:val="4A6B25"/>
          <w:sz w:val="20"/>
        </w:rPr>
        <w:t xml:space="preserve">2. </w:t>
      </w:r>
      <w:r>
        <w:rPr>
          <w:rFonts w:ascii="Calibri" w:hAnsi="Calibri"/>
          <w:b w:val="0"/>
          <w:color w:val="3A4A28"/>
          <w:sz w:val="20"/>
        </w:rPr>
        <w:t>Innovation pipeline execution risk — the $1.25B innovation revenue target and blockbuster launches are partially priced into the stock at 18.2x forward earnings; competitive response from Zoetis or Boehringer Ingelheim could pressure market share gains in JAK inhibitors and parasiticides [3][7]</w:t>
      </w:r>
    </w:p>
    <w:p>
      <w:pPr>
        <w:spacing w:before="40" w:after="40"/>
        <w:ind w:left="283"/>
      </w:pPr>
      <w:r>
        <w:rPr>
          <w:rFonts w:ascii="Calibri" w:hAnsi="Calibri"/>
          <w:b/>
          <w:color w:val="4A6B25"/>
          <w:sz w:val="20"/>
        </w:rPr>
        <w:t xml:space="preserve">3. </w:t>
      </w:r>
      <w:r>
        <w:rPr>
          <w:rFonts w:ascii="Calibri" w:hAnsi="Calibri"/>
          <w:b w:val="0"/>
          <w:color w:val="3A4A28"/>
          <w:sz w:val="20"/>
        </w:rPr>
        <w:t>Organic revenue growth (excluding the 2020 Bayer acquisition step-up) is low-single-digits — if innovation revenue fails to accelerate top-line growth beyond the 6-7% organic CC guidance, the stock's forward multiple may prove unsustainable relative to actual growth delivery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Elanco's core business — manufacturing and distributing physical veterinary pharmaceuticals, parasiticides, vaccines, and therapeutics — is structurally immune to AI disruption [4]. Animals require physical medications: you cannot treat a dog's flea infestation or vaccinate a cow with software. The business is protected by deep regulatory moats (FDA Center for Veterinary Medicine approval), physical drug manufacturing, global cold-chain distribution, and decades of clinical trial data. Analysts have not flagged AI as a displacement risk for Elanco's revenue streams. AI may actually increase demand for animal health products by enabling better veterinary diagnostics that identify more treatment opportunities. Elanco does not score 9 because AI-driven efficiency in some ancillary areas (farm management, veterinary tele-diagnostics) could modestly affect demand patterns for certain product lines. AI Opportunity (0/1): No AI-powered products are shipping to customers and no AI revenue has been quantified. Bobby Modi's Global Digital Transformation role and the $25M Elanco Ventures initiative may eventually fund AI-adjacent animal health technologies, but no commercial AI products exist today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Elanco Animal Health Q2 2026 Earnings Release — Revenue $1.37B (+10%), Adjusted EPS $0.34, Adjusted EBITDA $288M, Raised Full-Year Guidance, Zenrelia and Credelio Quattro Blockbuster Status — August 5, 2026</w:t>
      </w:r>
    </w:p>
    <w:p>
      <w:pPr>
        <w:spacing w:before="20" w:after="20"/>
        <w:ind w:left="170"/>
      </w:pPr>
      <w:r>
        <w:rPr>
          <w:rFonts w:ascii="Calibri" w:hAnsi="Calibri"/>
          <w:b/>
          <w:color w:val="4A6B25"/>
          <w:sz w:val="15"/>
        </w:rPr>
        <w:t xml:space="preserve">2. </w:t>
      </w:r>
      <w:r>
        <w:rPr>
          <w:rFonts w:ascii="Calibri" w:hAnsi="Calibri"/>
          <w:b w:val="0"/>
          <w:color w:val="3A4A28"/>
          <w:sz w:val="17"/>
        </w:rPr>
        <w:t>Elanco Innovation and Digital Transformation — Bobby Modi EVP Global Digital Transformation, Elanco Ventures $25M Launch — elanco.com, 2026</w:t>
      </w:r>
    </w:p>
    <w:p>
      <w:pPr>
        <w:spacing w:before="20" w:after="20"/>
        <w:ind w:left="170"/>
      </w:pPr>
      <w:r>
        <w:rPr>
          <w:rFonts w:ascii="Calibri" w:hAnsi="Calibri"/>
          <w:b/>
          <w:color w:val="4A6B25"/>
          <w:sz w:val="15"/>
        </w:rPr>
        <w:t xml:space="preserve">3. </w:t>
      </w:r>
      <w:r>
        <w:rPr>
          <w:rFonts w:ascii="Calibri" w:hAnsi="Calibri"/>
          <w:b w:val="0"/>
          <w:color w:val="3A4A28"/>
          <w:sz w:val="17"/>
        </w:rPr>
        <w:t>Elanco Product Pipeline — Seven Potential Blockbusters (TD Cowen), Befrena Launch, Credelio Quattro Expansion, Advantage Collar, Elanco Ventures — PRNewswire, 2026</w:t>
      </w:r>
    </w:p>
    <w:p>
      <w:pPr>
        <w:spacing w:before="20" w:after="20"/>
        <w:ind w:left="170"/>
      </w:pPr>
      <w:r>
        <w:rPr>
          <w:rFonts w:ascii="Calibri" w:hAnsi="Calibri"/>
          <w:b/>
          <w:color w:val="4A6B25"/>
          <w:sz w:val="15"/>
        </w:rPr>
        <w:t xml:space="preserve">4. </w:t>
      </w:r>
      <w:r>
        <w:rPr>
          <w:rFonts w:ascii="Calibri" w:hAnsi="Calibri"/>
          <w:b w:val="0"/>
          <w:color w:val="3A4A28"/>
          <w:sz w:val="17"/>
        </w:rPr>
        <w:t>Elanco Mission and Purpose — 'Food and Companionship Enriching Life,' Healthy Purpose Framework, $400M U.S. Investment Commitment — elanco.com</w:t>
      </w:r>
    </w:p>
    <w:p>
      <w:pPr>
        <w:spacing w:before="20" w:after="20"/>
        <w:ind w:left="170"/>
      </w:pPr>
      <w:r>
        <w:rPr>
          <w:rFonts w:ascii="Calibri" w:hAnsi="Calibri"/>
          <w:b/>
          <w:color w:val="4A6B25"/>
          <w:sz w:val="15"/>
        </w:rPr>
        <w:t xml:space="preserve">5. </w:t>
      </w:r>
      <w:r>
        <w:rPr>
          <w:rFonts w:ascii="Calibri" w:hAnsi="Calibri"/>
          <w:b w:val="0"/>
          <w:color w:val="3A4A28"/>
          <w:sz w:val="17"/>
        </w:rPr>
        <w:t>Elanco Foundation and Community Impact — Newsweek Most Charitable Companies 2026, 151M+ Meals Served, 2025 Impact Report — elanco.com/impact</w:t>
      </w:r>
    </w:p>
    <w:p>
      <w:pPr>
        <w:spacing w:before="20" w:after="20"/>
        <w:ind w:left="170"/>
      </w:pPr>
      <w:r>
        <w:rPr>
          <w:rFonts w:ascii="Calibri" w:hAnsi="Calibri"/>
          <w:b/>
          <w:color w:val="4A6B25"/>
          <w:sz w:val="15"/>
        </w:rPr>
        <w:t xml:space="preserve">6. </w:t>
      </w:r>
      <w:r>
        <w:rPr>
          <w:rFonts w:ascii="Calibri" w:hAnsi="Calibri"/>
          <w:b w:val="0"/>
          <w:color w:val="3A4A28"/>
          <w:sz w:val="17"/>
        </w:rPr>
        <w:t>SEC Form 4 Insider Filings — CEO Simmons ($478K Dec 2025, $100K May 2026), CFO VanHimbergen ($150K Dec 2025), GC O'Neill (3,998 shares Aug 2026), Total $1.7M with Zero Selling</w:t>
      </w:r>
    </w:p>
    <w:p>
      <w:pPr>
        <w:spacing w:before="20" w:after="20"/>
        <w:ind w:left="170"/>
      </w:pPr>
      <w:r>
        <w:rPr>
          <w:rFonts w:ascii="Calibri" w:hAnsi="Calibri"/>
          <w:b/>
          <w:color w:val="4A6B25"/>
          <w:sz w:val="15"/>
        </w:rPr>
        <w:t xml:space="preserve">7. </w:t>
      </w:r>
      <w:r>
        <w:rPr>
          <w:rFonts w:ascii="Calibri" w:hAnsi="Calibri"/>
          <w:b w:val="0"/>
          <w:color w:val="3A4A28"/>
          <w:sz w:val="17"/>
        </w:rPr>
        <w:t>Yahoo Finance, StockAnalysis — ELAN Key Statistics: Stock Price $24.20, Forward P/E 18.17, PEG 1.55, ROE 6.01%, D/E 69%, Profit Margin 0.78%, Avg Volume 9.51M,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