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ELBM</w:t>
      </w:r>
      <w:r>
        <w:rPr>
          <w:rFonts w:ascii="Calibri" w:hAnsi="Calibri"/>
          <w:b/>
          <w:color w:val="1A2010"/>
          <w:sz w:val="40"/>
        </w:rPr>
        <w:t xml:space="preserve">  Electra Battery Materials Corporation</w:t>
      </w:r>
    </w:p>
    <w:p>
      <w:pPr>
        <w:spacing w:after="120"/>
      </w:pPr>
      <w:r>
        <w:rPr>
          <w:rFonts w:ascii="Calibri" w:hAnsi="Calibri"/>
          <w:b/>
          <w:color w:val="6E8450"/>
          <w:sz w:val="18"/>
        </w:rPr>
        <w:t>GROWTH SLEEVE · 2026-09-28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Industrial Metals &amp; Mining · NASDAQ · Canada</w:t>
      </w:r>
    </w:p>
    <w:p>
      <w:pPr>
        <w:spacing w:after="80"/>
      </w:pPr>
      <w:r>
        <w:rPr>
          <w:rFonts w:ascii="Calibri" w:hAnsi="Calibri"/>
          <w:b w:val="0"/>
          <w:color w:val="3A4A28"/>
          <w:sz w:val="20"/>
        </w:rPr>
        <w:t>Electra Battery Materials Corporation is building North America's first battery-grade cobalt sulfate refinery in Temiskaming Shores, Ontario, alongside a battery recycling demonstration facility, to reduce North American reliance on Chinese-controlled critical mineral supply chains. Founded in 2011 as First Cobalt Corp. and rebranded in December 2021, the company also holds cobalt, copper, and silver exploration properties. Electra posted a small net income of $37,170 in H1 2026, compared to a net loss of $14,685 in H1 2025, with a long-term supply agreement with LG Energy Solution and a $20M Government of Canada Strategic Resource Fund partnership.</w:t>
      </w:r>
    </w:p>
    <w:p>
      <w:r>
        <w:rPr>
          <w:rFonts w:ascii="Calibri" w:hAnsi="Calibri"/>
          <w:b/>
          <w:color w:val="6E8450"/>
          <w:sz w:val="18"/>
        </w:rPr>
        <w:t>https://electrabmc.com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Electra secured approximately $82.5M in new capital and converted $40M of $67M in debt in late 2025/early 2026, allowing construction to resume in November 2025 after a prior financial-distress halt — real progress, but the refinery still has not produced commercial revenue in the company's 15-year history [1][2]. AI Deployment (0/2): No AI-powered products or operational AI deployment identified. Market Share (1/2): Electra holds a differentiated position as the only company advancing a domestic North American cobalt sulfate refinery, but with zero current output it has not yet converted that positioning into actual market share [2]. Product Pipeline (2/2): The refinery now has a specific, government-backed timeline — commissioning targeted Q4 2026, mechanical completion Q2 2027, commercial production Q4 2027 — with initial capacity of 5,120 tonnes/year battery-grade cobalt sulfate expandable to 6,500 tpa, underpinned by the LG Energy Solution supply agreement [1][2]. R&amp;D Intensity (0/1): No meaningful R&amp;D spend disclosed; this is a construction and refining operation, not a technology developer.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Electra's mission of building 'the only fully integrated, localized and environmentally-sustainable battery park in North America' is clear and specific, connecting directly to energy-security and supply-chain themes, though it remains unproven by commercial execution [3]. Community Impact (1/2): The company has a benefits agreement with the Metis Nation of Ontario, launched comprehensive ESG policies including human rights and supply chain frameworks, published an inaugural sustainability report with Net-Zero by 2050 commitment, and is a member of both the Cobalt Institute and Responsible Minerals Initiative [3]. Employee Retention (0/2): With minimal employees and no disclosed tenure or turnover data, this item cannot be scored positively. Insider Buying (2/2): CEO Trent Mell, director David Stetson (~$297K), and five additional officers/directors collectively purchased shares between October 2025 and February 2026 at $0.75-$0.79, representing broad, recent insider conviction across the leadership team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360,014 shares x $0.54 stock price = approximately $194,000 in daily traded value, well below the $1,000,000 minimum threshold — Infrastructure score is forced to 0 regardless of other metrics [4]. Liquidity has deteriorated materially from the prior screen (~$511K daily traded value) as volume declined from 817K to 360K shares/day. Underlying financials remain distressed: ROE of -109.99%, no operating revenue, and a forward P/E of -6.35 reflecting continued expected losses. The company reported a small H1 2026 net income of $37,170 (vs. loss of $14,685 in H1 2025) and forecasters project revenue growth of 167.8% annualized, but revenue remains sub-$1M and prior going-concern disclosures remain the overriding financial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Electra is a single-project company whose entire strategic identity is completing one refinery. Recent government partnership, an LG Energy Solution offtake agreement, and broad insider buying show real conviction and some perseverance through financial distress, but 15 years without commercial revenue, a rebrand from First Cobalt, and a still-unresolved going-concern disclosure keep this squarely in finite-game territory rather than an enduring, purpose-driven organization.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Building a domestic, sustainable critical-minerals supply chain is a timely and resonant cause, but after 15 years and zero revenue it remains an unproven business plan rather than a cause validated by execution — it is also largely interchangeable with the pitch of any Western battery-materials competitor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minimal employees and no public culture data, this dimension cannot be scored positively; the years of construction halts, a going-concern disclosure, and repeated capital raises create an environment of financial uncertainty that likely strains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Electra's messaging emphasizes being 'the only' or 'the first' North American cobalt refiner rather than referencing competitors' strengths as a source of self-improvement; no evidence of rival-referencing language was found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pivoted from pure cobalt exploration (as First Cobalt) to integrated refining plus a battery-recycling demonstration plant, and diversified its financing base to include a Government of Canada Strategic Resource Fund partnership — real but incremental adaptation rather than a Sinek-caliber transformative pivot [1][3].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restructured $40M of debt and secured $82.5M in new capital to restart construction after a full halt in 2023, rather than abandoning the project, and secured a long-term LG Energy Solution offtake before the refinery is even operating — a real bet on the long-term thesis despite years of financial strain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Electra has moved from crisis to real construction momentum: $82.5M of new capital plus a $40M debt conversion allowed construction to resume in November 2025 after a prior halt, and the company has since secured a long-term supply agreement with LG Energy Solution and a $20M Strategic Resource Fund partnership with the Government of Canada [1][2][3]. The refinery carries a specific, government-backed timeline (commissioning Q4 2026, commercial production Q4 2027, initial capacity 5,120 tpa expandable to 6,500 tpa), and broad insider buying across seven executives and directors in late 2025/early 2026 signals leadership conviction at depressed prices. H1 2026 net income of $37,170 represents the first positive earnings period, albeit negligible in absolute terms [1].</w:t>
      </w:r>
    </w:p>
    <w:p>
      <w:pPr>
        <w:spacing w:after="120"/>
      </w:pPr>
      <w:r>
        <w:rPr>
          <w:rFonts w:ascii="Calibri" w:hAnsi="Calibri"/>
          <w:b w:val="0"/>
          <w:color w:val="3A4A28"/>
          <w:sz w:val="20"/>
        </w:rPr>
        <w:t>The bear case remains severe. Electra has generated zero commercial revenue in 15 years since incorporation, has ROE of -109.99%, and prior management disclosures of 'substantial doubt' about the company's ability to continue as a going concern remain the dominant risk [1][4]. Average daily dollar volume has deteriorated to approximately $194,000 — well below IOWN's $1M liquidity floor and worse than the prior screen's $511K — making the stock effectively untradeable for institutional-scale positions. Cobalt prices remain pressured by DRC oversupply and a battery-chemistry shift toward lower-cobalt LFP/LMFP formulations, meaning even a successfully commissioned refinery enters a structurally challenged pricing environment. The stock at $0.54 is a micro-cap speculative bet on construction execution in a commodity market facing secular headwinds.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Refinery commissioning targeted for Q4 2026, with mechanical completion in Q2 2027 and first commercial cobalt sulfate production in Q4 2027 — the clearest near-term de-risking milestone [1]</w:t>
      </w:r>
    </w:p>
    <w:p>
      <w:pPr>
        <w:spacing w:before="40" w:after="40"/>
        <w:ind w:left="283"/>
      </w:pPr>
      <w:r>
        <w:rPr>
          <w:rFonts w:ascii="Calibri" w:hAnsi="Calibri"/>
          <w:b/>
          <w:color w:val="4A6B25"/>
          <w:sz w:val="20"/>
        </w:rPr>
        <w:t xml:space="preserve">2. </w:t>
      </w:r>
      <w:r>
        <w:rPr>
          <w:rFonts w:ascii="Calibri" w:hAnsi="Calibri"/>
          <w:b w:val="0"/>
          <w:color w:val="3A4A28"/>
          <w:sz w:val="20"/>
        </w:rPr>
        <w:t>Long-term supply agreement with LG Energy Solution providing offtake visibility ahead of first production, reducing commercial risk for the initial capacity ramp [2]</w:t>
      </w:r>
    </w:p>
    <w:p>
      <w:pPr>
        <w:spacing w:before="40" w:after="40"/>
        <w:ind w:left="283"/>
      </w:pPr>
      <w:r>
        <w:rPr>
          <w:rFonts w:ascii="Calibri" w:hAnsi="Calibri"/>
          <w:b/>
          <w:color w:val="4A6B25"/>
          <w:sz w:val="20"/>
        </w:rPr>
        <w:t xml:space="preserve">3. </w:t>
      </w:r>
      <w:r>
        <w:rPr>
          <w:rFonts w:ascii="Calibri" w:hAnsi="Calibri"/>
          <w:b w:val="0"/>
          <w:color w:val="3A4A28"/>
          <w:sz w:val="20"/>
        </w:rPr>
        <w:t>Continued execution of the Government of Canada Strategic Resource Fund partnership, which could unlock further non-dilutive government capital as construction progresses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FLOOR: average daily dollar volume (~$194K) is far below the $1M threshold required for IOWN to trade the position, mechanically zeroing the Infrastructure score and deteriorating from $511K at the prior screen [4]</w:t>
      </w:r>
    </w:p>
    <w:p>
      <w:pPr>
        <w:spacing w:before="40" w:after="40"/>
        <w:ind w:left="283"/>
      </w:pPr>
      <w:r>
        <w:rPr>
          <w:rFonts w:ascii="Calibri" w:hAnsi="Calibri"/>
          <w:b/>
          <w:color w:val="4A6B25"/>
          <w:sz w:val="20"/>
        </w:rPr>
        <w:t xml:space="preserve">2. </w:t>
      </w:r>
      <w:r>
        <w:rPr>
          <w:rFonts w:ascii="Calibri" w:hAnsi="Calibri"/>
          <w:b w:val="0"/>
          <w:color w:val="3A4A28"/>
          <w:sz w:val="20"/>
        </w:rPr>
        <w:t>Explicit going-concern disclosure alongside a 15-year history of zero commercial revenue means further dilutive capital raises remain a persistent risk if construction costs or timelines slip again</w:t>
      </w:r>
    </w:p>
    <w:p>
      <w:pPr>
        <w:spacing w:before="40" w:after="40"/>
        <w:ind w:left="283"/>
      </w:pPr>
      <w:r>
        <w:rPr>
          <w:rFonts w:ascii="Calibri" w:hAnsi="Calibri"/>
          <w:b/>
          <w:color w:val="4A6B25"/>
          <w:sz w:val="20"/>
        </w:rPr>
        <w:t xml:space="preserve">3. </w:t>
      </w:r>
      <w:r>
        <w:rPr>
          <w:rFonts w:ascii="Calibri" w:hAnsi="Calibri"/>
          <w:b w:val="0"/>
          <w:color w:val="3A4A28"/>
          <w:sz w:val="20"/>
        </w:rPr>
        <w:t>Secular headwinds from cobalt oversupply out of the DRC and a battery-chemistry shift toward lower-cobalt LFP/LMFP formulations could compress the addressable market even after the refinery reaches production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Electra's core activity — mining, chemical refining, and recycling of physical cobalt into battery-grade cobalt sulfate — is structurally immune to AI substitution; no analyst or industry commentary reviewed suggested any AI-driven disruption risk to physical mineral refining [1][2]. Rising AI data-center power demand is, if anything, a secondary tailwind for battery and critical-minerals demand broadly, as UPS systems and energy storage supporting AI infrastructure require battery materials. AI Opportunity (0/1): No AI-derived revenue or AI-powered products exist at Electra; the business is entirely a physical refining and recycling operation.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Electra Battery Materials H1 2026 Financial Results — Net income $37,170 (vs. loss of $14,685 in H1 2025), refinery construction progress, SEC Form 6-K, 2026</w:t>
      </w:r>
    </w:p>
    <w:p>
      <w:pPr>
        <w:spacing w:before="20" w:after="20"/>
        <w:ind w:left="170"/>
      </w:pPr>
      <w:r>
        <w:rPr>
          <w:rFonts w:ascii="Calibri" w:hAnsi="Calibri"/>
          <w:b/>
          <w:color w:val="4A6B25"/>
          <w:sz w:val="15"/>
        </w:rPr>
        <w:t xml:space="preserve">2. </w:t>
      </w:r>
      <w:r>
        <w:rPr>
          <w:rFonts w:ascii="Calibri" w:hAnsi="Calibri"/>
          <w:b w:val="0"/>
          <w:color w:val="3A4A28"/>
          <w:sz w:val="17"/>
        </w:rPr>
        <w:t>Electra Battery Materials Corporate Updates — $82.5M refinery financing, $40M debt conversion, LG Energy Solution supply agreement, construction restart November 2025</w:t>
      </w:r>
    </w:p>
    <w:p>
      <w:pPr>
        <w:spacing w:before="20" w:after="20"/>
        <w:ind w:left="170"/>
      </w:pPr>
      <w:r>
        <w:rPr>
          <w:rFonts w:ascii="Calibri" w:hAnsi="Calibri"/>
          <w:b/>
          <w:color w:val="4A6B25"/>
          <w:sz w:val="15"/>
        </w:rPr>
        <w:t xml:space="preserve">3. </w:t>
      </w:r>
      <w:r>
        <w:rPr>
          <w:rFonts w:ascii="Calibri" w:hAnsi="Calibri"/>
          <w:b w:val="0"/>
          <w:color w:val="3A4A28"/>
          <w:sz w:val="17"/>
        </w:rPr>
        <w:t>Electra Battery Materials ESG and Community — Metis Nation benefits agreement, Government of Canada $20M Strategic Resource Fund, sustainability report, Net-Zero 2050 commitment, Cobalt Institute membership</w:t>
      </w:r>
    </w:p>
    <w:p>
      <w:pPr>
        <w:spacing w:before="20" w:after="20"/>
        <w:ind w:left="170"/>
      </w:pPr>
      <w:r>
        <w:rPr>
          <w:rFonts w:ascii="Calibri" w:hAnsi="Calibri"/>
          <w:b/>
          <w:color w:val="4A6B25"/>
          <w:sz w:val="15"/>
        </w:rPr>
        <w:t xml:space="preserve">4. </w:t>
      </w:r>
      <w:r>
        <w:rPr>
          <w:rFonts w:ascii="Calibri" w:hAnsi="Calibri"/>
          <w:b w:val="0"/>
          <w:color w:val="3A4A28"/>
          <w:sz w:val="17"/>
        </w:rPr>
        <w:t>Yahoo Finance — ELBM Key Statistics: Price $0.54, Forward P/E -6.35, D/E 48.21%, ROE -109.99%, Avg Volume 360,014,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