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w:t>
      </w:r>
      <w:r>
        <w:rPr>
          <w:rFonts w:ascii="Calibri" w:hAnsi="Calibri"/>
          <w:b/>
          <w:color w:val="1A2010"/>
          <w:sz w:val="40"/>
        </w:rPr>
        <w:t xml:space="preserve">  The Estée Lauder Companies Inc.</w:t>
      </w:r>
    </w:p>
    <w:p>
      <w:pPr>
        <w:spacing w:after="120"/>
      </w:pPr>
      <w:r>
        <w:rPr>
          <w:rFonts w:ascii="Calibri" w:hAnsi="Calibri"/>
          <w:b/>
          <w:color w:val="6E8450"/>
          <w:sz w:val="18"/>
        </w:rPr>
        <w:t>GROWTH SLEEVE · 2026-08-30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NYSE · United States</w:t>
      </w:r>
    </w:p>
    <w:p>
      <w:pPr>
        <w:spacing w:after="80"/>
      </w:pPr>
      <w:r>
        <w:rPr>
          <w:rFonts w:ascii="Calibri" w:hAnsi="Calibri"/>
          <w:b w:val="0"/>
          <w:color w:val="3A4A28"/>
          <w:sz w:val="20"/>
        </w:rPr>
        <w:t>The Estee Lauder Companies manufactures, markets, and sells prestige skin care, makeup, fragrance, and hair care products worldwide through brands including La Mer, Jo Malone London, TOM FORD, Le Labo, Clinique, MAC, The Ordinary, Aveda, and Bobbi Brown. FY2026 (ended June 30) net sales rose 5% to $15.0B with adjusted EPS of $2.51 (+66%). Executing the 'Beauty Reimagined' PRGP turnaround under CEO Stephane de La Faverie, with FY2027 guidance of $3.10-$3.35 EPS and 3-5% organic growth.</w:t>
      </w:r>
    </w:p>
    <w:p>
      <w:r>
        <w:rPr>
          <w:rFonts w:ascii="Calibri" w:hAnsi="Calibri"/>
          <w:b/>
          <w:color w:val="6E8450"/>
          <w:sz w:val="18"/>
        </w:rPr>
        <w:t>44,020 Employees · https://www.elcompanies.com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FY2026 completed the turnaround inflection — full-year revenue rose 5% to $15.0B with gross margin expanding 150bps to 75.5% and operating margin up 320bps to 11.2% [1]. Jo Malone London and TOM FORD both joined the billion-dollar brand club, and Mainland China net sales grew 9% organically, proving the brand portfolio's resilience [1]. However, revenue remains below the FY2022 peak of $17.7B. AI Deployment (2/2): ELC is among the most aggressive AI adopters in consumer goods — 240+ custom GPTs deployed across brands, ConsumerIQ AI agent consolidating 80 years of consumer data, AI-driven media optimization delivering 31% ROI improvement, AI manufacturing delivering 300bp gross margin enhancement, and partnerships with Microsoft, Google, OpenAI, and Accenture for enterprise-wide AI acceleration [2]. Market Share (1/2): ELC remains a global prestige beauty leader but has lost share during the downturn; fragrance is recovering with double-digit organic growth led by Le Labo, KILIAN PARIS, and TOM FORD [1]. Product Pipeline (1/2): Forest Essentials acquisition expanding India presence, 111Skin minority investment in luxury skincare, and FY2027 guidance of 3-5% organic growth and 12.7-13.5% operating margins signals pipeline confidence [1]. R&amp;D Intensity (1/1): Significant AI R&amp;D partnerships and Corteva AI Innovation Lab investment well above consumer goods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ELC describes itself as 'bringing the best to everyone we touch' — a clear but not distinctive mission for a prestige beauty company. The Lauder family heritage since 1946 provides authenticity, connecting the company to 'confidence, self-expression, and well-being,' but these themes are common across prestige beauty [3]. Community Impact (2/2): ELC achieved carbon neutrality in Scope 1 and 2 emissions, uses 100% renewable electricity globally, reached global pay equity targets, and increased spending on women- and Black-owned suppliers [3]. Emerging Leaders Beautiful Forces grants and Vital Voices Global Partnership demonstrate meaningful community investment. ELC is doubling down on ESG while others pull back — over $8B was pulled from ESG funds globally in Q1 2025, but ELC maintains its commitments [3]. Employee Retention (1/2): Glassdoor rating of 3.5/5 with 57% recommendation rate is adequate but declining. Reviews note talent exodus during the PRGP restructuring and 'morale at an all-time low,' with 3,000 layoffs in 2025 and 9,000-10,000 total PRGP position eliminations [2]. Insider Buying (0/2): Lauder family controls the company through dual-class shares but this represents structural ownership rather than recent conviction; no meaningful net insider purchases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ELC's GAAP financials remain distorted by cumulative PRGP restructuring charges of $1.5-1.7B and prior-year impairments on Too Faced, Dr.Jart+, and Tom Ford Beauty [1]. D/E of 242% is heavily leveraged with $6.81B long-term debt [4]. GAAP ROE of -20.73% and net profit margin of -1.67% are below floor due to impairment charges, though adjusted operating margin improved to 11.2% for full-year FY2026 (+320bps YoY) and adjusted EPS of $2.51 represents 66% growth [1]. Forward P/E of 27.19 (using FY2027 midpoint EPS of $3.225) reflects the recovery trajectory, and forward PEG of ~0.75 (vs 36.65% 3-year EPS growth forecast) scores well [4]. Revenue growth of 5% and FY2026 gross margin of 75.5% demonstrate the inherent pricing power of prestige beauty. The 5yr revenue CAGR of -1.5% (from FY2021 $16.2B to FY2026 $15.0B) reflects three consecutive years of decline before the current recovery. Liquidity floor cleared: 3.05M avg volume x $87.68 = $267M.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Estee Lauder's 80-year heritage and family-controlled governance provide a foundation for infinite game thinking, and the 'Beauty Reimagined' turnaround delivered strong FY2026 results — $15.0B revenue (+5%), adjusted EPS $2.51 (+66%), and raised FY2027 guidance to $3.10-$3.35 [1]. However, recent years exposed finite-game tendencies — reactive strategy changes, $1B+ impairment charges from acquisition missteps, and a dividend cut that broke a decades-long commitment. The PRGP restructuring eliminating 9,000-10,000 positions inflicts short-term organizational trauma in service of long-term competitiveness.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Lauder family's 80-year commitment to prestige beauty — 'bringing the best to everyone we touch' — has been validated across multiple generations, three CEO transitions, and market cycles including the current deep downturn [3]. The brand portfolio (La Mer, Le Labo, Jo Malone) reflects decades of consistent investment in craftsmanship and luxury. CEO de La Faverie is described as deeply committed to 'innovation, inclusivity, and sustainability' [2]. However, the acquisition-driven strategy that produced Too Faced and Tom Ford impairments suggests the cause was diluted by growth-for-growth's-sake thinking in recent years.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describes a 'warm family company' culture rooted in Lauder heritage, and the Reverse Mentorship Program pairing senior leaders with Gen Z employees shows cultural investment [2]. However, the PRGP restructuring eliminating 9,000-10,000 positions is deeply disruptive — Glassdoor shows 57% recommendation rate, reviews note 'morale at an all-time low,' talent exodus, and concerns about leadership disconnect [2]. The 3,000 layoffs in 2025 and continued restructuring undermine the trust foundation that decades of family governance built.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ELC's 'Beauty Reimagined' strategy explicitly acknowledges competitive threats from indie brands, digital-native disruptors, and social commerce platforms, using competitive pressures to drive internal transformation [1]. The AI partnerships with Microsoft, Google, OpenAI, and Accenture demonstrate willingness to learn from technology leaders outside the beauty industry rather than competing in isolation. Management's candid discussion of market share losses and the need to adapt reflects competitive self-awareness oriented toward 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ELC has adapted its business model through significant shifts — building The Ordinary into a mass-prestige disruptor, pivoting from department store dependence to DTC and e-commerce, investing in Forest Essentials (India market) and 111Skin (luxury skincare), and restructuring around AI-driven operations [1][2]. The PRGP's $1.5-1.7B in restructuring charges represents a painful but deliberate reinvention. However, the core business model (prestige brands sold through premium channels)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de La Faverie's 'Beauty Reimagined' plan required acknowledging that the previous strategy failed — cumulative impairment charges exceeding $1B, $1.5-1.7B PRGP restructuring, and eliminating 9,000-10,000 positions demonstrate willingness to accept near-term pain for long-term positioning [1]. Aggressive AI investment during a revenue decline shows commitment to long-term capability. ELC is doubling down on ESG while competitors retreat — maintaining carbon neutrality, 100% renewable electricity, and pay equity commitments despite $8B+ in ESG fund outflows industry-wide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Estee Lauder's 'Beauty Reimagined' turnaround delivered a strong FY2026 — full-year net sales rose 5% to $15.0B, gross margin expanded 150bps to 75.5%, operating margin improved 320bps to 11.2%, and adjusted EPS of $2.51 represented 66% growth, with Q4 beating consensus by 22% ($0.39 vs $0.32) [1]. FY2027 guidance was raised to $3.10-$3.35 EPS with 3-5% organic growth and 12.7-13.5% operating margins, signaling continued margin recovery toward historical 15%+ levels. Jo Malone London and TOM FORD joined the billion-dollar brand club, Mainland China grew 9% organically, and the AI deployment (240+ GPTs, 31% media ROI improvement, 300bp manufacturing margin enhancement) is industry-leading [1][2]. At forward PEG of ~0.75 against 36% 3-year EPS growth, the turnaround valuation is compelling. The Inspire Impact Score of -67 (MISALIGNED) may limit allocation for faith-based investors despite strong ESG practices.</w:t>
      </w:r>
    </w:p>
    <w:p>
      <w:pPr>
        <w:spacing w:after="120"/>
      </w:pPr>
      <w:r>
        <w:rPr>
          <w:rFonts w:ascii="Calibri" w:hAnsi="Calibri"/>
          <w:b w:val="0"/>
          <w:color w:val="3A4A28"/>
          <w:sz w:val="20"/>
        </w:rPr>
        <w:t>The bear case centers on structural challenges, leverage, and the distance still to cover. Revenue of $15.0B remains ~$2.7B below the FY2022 peak of $17.7B, with 5yr revenue CAGR of -1.5% reflecting permanent market share losses to indie brands and social commerce, not just cyclical weakness [1][4]. GAAP financials show ROE of -20.73% and net margin of -1.67%, with D/E of 242% and $6.81B long-term debt constraining strategic flexibility — the 47% dividend cut to $0.35/quarter confirmed the financial strain [4]. The PRGP elimination of 9,000-10,000 positions risks destroying institutional knowledge while Glassdoor reviews show 57% recommendation rate and 'morale at an all-time low' [2]. The operating margin target of 12.7-13.5% for FY2027 remains below the historical 15%+ peak, and the path from adjusted profitability to GAAP profitability remains uncertain given cumulative restructuring charges of $1.5-1.7B. Tariff exposure and social commerce disruption from TikTok Shop and indie brands create ongoing headwinds.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Operating margin recovery trajectory — FY2026 adjusted op margin of 11.2% (+320bps) with FY2027 guidance of 12.7-13.5%, progressing toward historical 15%+ levels; PRGP targeting $1.0-1.2B in annual gross benefits as restructuring charges roll off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efficiency — 240+ GPTs, ConsumerIQ, and manufacturing AI delivering measurable ROI (31% media improvement, 300bp manufacturing margin); Accenture partnership accelerating enterprise-wide deployment could further enhance margins [2]</w:t>
      </w:r>
    </w:p>
    <w:p>
      <w:pPr>
        <w:spacing w:before="40" w:after="40"/>
        <w:ind w:left="283"/>
      </w:pPr>
      <w:r>
        <w:rPr>
          <w:rFonts w:ascii="Calibri" w:hAnsi="Calibri"/>
          <w:b/>
          <w:color w:val="4A6B25"/>
          <w:sz w:val="20"/>
        </w:rPr>
        <w:t xml:space="preserve">3. </w:t>
      </w:r>
      <w:r>
        <w:rPr>
          <w:rFonts w:ascii="Calibri" w:hAnsi="Calibri"/>
          <w:b w:val="0"/>
          <w:color w:val="3A4A28"/>
          <w:sz w:val="20"/>
        </w:rPr>
        <w:t>Fragrance portfolio momentum — Jo Malone London and TOM FORD crossed the $1B revenue threshold in FY2026; luxury fragrance is the fastest-growing prestige beauty category globally and ELC's highest-margin segment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revenue gap — FY2026 revenue of $15.0B remains $2.7B below FY2022 peak ($17.7B) with 5yr CAGR of -1.5%, reflecting permanent market share losses to indie brands and social commerce, not just cyclical recovery; only 5% reported growth vs. 3% organic [1]</w:t>
      </w:r>
    </w:p>
    <w:p>
      <w:pPr>
        <w:spacing w:before="40" w:after="40"/>
        <w:ind w:left="283"/>
      </w:pPr>
      <w:r>
        <w:rPr>
          <w:rFonts w:ascii="Calibri" w:hAnsi="Calibri"/>
          <w:b/>
          <w:color w:val="4A6B25"/>
          <w:sz w:val="20"/>
        </w:rPr>
        <w:t xml:space="preserve">2. </w:t>
      </w:r>
      <w:r>
        <w:rPr>
          <w:rFonts w:ascii="Calibri" w:hAnsi="Calibri"/>
          <w:b w:val="0"/>
          <w:color w:val="3A4A28"/>
          <w:sz w:val="20"/>
        </w:rPr>
        <w:t>Balance sheet leverage — D/E of 242% with $6.81B long-term debt constrains strategic flexibility; GAAP ROE of -20.73% and the 47% dividend cut signal the financial strain extends beyond restructuring noise [4]</w:t>
      </w:r>
    </w:p>
    <w:p>
      <w:pPr>
        <w:spacing w:before="40" w:after="40"/>
        <w:ind w:left="283"/>
      </w:pPr>
      <w:r>
        <w:rPr>
          <w:rFonts w:ascii="Calibri" w:hAnsi="Calibri"/>
          <w:b/>
          <w:color w:val="4A6B25"/>
          <w:sz w:val="20"/>
        </w:rPr>
        <w:t xml:space="preserve">3. </w:t>
      </w:r>
      <w:r>
        <w:rPr>
          <w:rFonts w:ascii="Calibri" w:hAnsi="Calibri"/>
          <w:b w:val="0"/>
          <w:color w:val="3A4A28"/>
          <w:sz w:val="20"/>
        </w:rPr>
        <w:t>PRGP execution risk — eliminating 9,000-10,000 positions risks destroying the Lauder heritage culture; Glassdoor shows 57% recommendation with declining morale, and imported leadership from P&amp;G and J&amp;J has disrupted the organic culture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Prestige beauty has meaningful physical-world defensibility — consumers want to smell fragrances, test textures, and experience luxury retail environments that AI cannot replicate [2]. Brand heritage built over decades (La Mer since 1965, Clinique since 1968) creates emotional moats resistant to AI disruption. However, AI-driven beauty tools (virtual try-on, personalized recommendations) are commoditizing product discovery, and social commerce platforms powered by AI algorithms are disrupting traditional distribution channels, threatening ELC's department store and travel retail dependencies. McKinsey estimates generative AI could generate $9-10B in value across the beauty industry, making this a battleground where slow adopters lose [2]. AI Opportunity (1/1): ELC generates measurable AI operational impact — 31% ROI improvement on media optimization, 300bp gross margin enhancement from AI manufacturing, 240+ custom GPTs deployed, ConsumerIQ agent leveraging 80 years of consumer data, and enterprise-wide AI deployment with Accenture partnership driving quantifiable efficiency gains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Estee Lauder FY2026 Full-Year &amp; Q4 Results — Revenue $15.0B (+5%), Gross Margin 75.5%, Op Margin 11.2%, Adjusted EPS $2.51 (+66%), Q4 EPS Beat ($0.39 vs $0.32), FY2027 Guidance $3.10-$3.35, August 2026</w:t>
      </w:r>
    </w:p>
    <w:p>
      <w:pPr>
        <w:spacing w:before="20" w:after="20"/>
        <w:ind w:left="170"/>
      </w:pPr>
      <w:r>
        <w:rPr>
          <w:rFonts w:ascii="Calibri" w:hAnsi="Calibri"/>
          <w:b/>
          <w:color w:val="4A6B25"/>
          <w:sz w:val="15"/>
        </w:rPr>
        <w:t xml:space="preserve">2. </w:t>
      </w:r>
      <w:r>
        <w:rPr>
          <w:rFonts w:ascii="Calibri" w:hAnsi="Calibri"/>
          <w:b w:val="0"/>
          <w:color w:val="3A4A28"/>
          <w:sz w:val="17"/>
        </w:rPr>
        <w:t>Estee Lauder AI Strategy &amp; Culture — 240+ GPTs, ConsumerIQ, Microsoft/Google/Accenture AI Partnerships, 31% Media ROI, 300bp Manufacturing Margin; Glassdoor 3.5/5, 57% Recommend, PRGP Layoffs, 2025-2026</w:t>
      </w:r>
    </w:p>
    <w:p>
      <w:pPr>
        <w:spacing w:before="20" w:after="20"/>
        <w:ind w:left="170"/>
      </w:pPr>
      <w:r>
        <w:rPr>
          <w:rFonts w:ascii="Calibri" w:hAnsi="Calibri"/>
          <w:b/>
          <w:color w:val="4A6B25"/>
          <w:sz w:val="15"/>
        </w:rPr>
        <w:t xml:space="preserve">3. </w:t>
      </w:r>
      <w:r>
        <w:rPr>
          <w:rFonts w:ascii="Calibri" w:hAnsi="Calibri"/>
          <w:b w:val="0"/>
          <w:color w:val="3A4A28"/>
          <w:sz w:val="17"/>
        </w:rPr>
        <w:t>Estee Lauder ESG &amp; Sustainability — Carbon Neutrality (Scope 1&amp;2), 100% Renewable Electricity, Global Pay Equity, Supplier Diversity, Doubling Down on ESG Amid Industry Pullback, ESG Dive / Supply Chain Magazine,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EL Key Statistics: Stock Price $87.68, Forward P/E 27.19, D/E 242%, ROE -20.73%, Avg Volume 3.05M,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