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EMN</w:t>
      </w:r>
      <w:r>
        <w:rPr>
          <w:rFonts w:ascii="Calibri" w:hAnsi="Calibri"/>
          <w:b/>
          <w:color w:val="1A2010"/>
          <w:sz w:val="40"/>
        </w:rPr>
        <w:t xml:space="preserve">  Eastman Chemical Company</w:t>
      </w:r>
    </w:p>
    <w:p>
      <w:pPr>
        <w:spacing w:after="120"/>
      </w:pPr>
      <w:r>
        <w:rPr>
          <w:rFonts w:ascii="Calibri" w:hAnsi="Calibri"/>
          <w:b/>
          <w:color w:val="6E8450"/>
          <w:sz w:val="18"/>
        </w:rPr>
        <w:t>DIVIDEND SLEEVE · 2026-09-15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Eastman Chemical Company is a specialty materials company operating through four segments: Additives &amp; Functional Products (building blocks, solvents, adhesives), Advanced Materials (copolyesters, biopolymers, PVB sheets, films), Chemical Intermediates (olefin/acetyl derivatives, plasticizers), and Fibers (cellulose acetate tow, yarns). Founded in 1920 and headquartered in Kingsport, Tennessee. Q2 2026 revenue of ~$2.40B implied 4.8% YoY growth with EBIT margin expanding 350bps sequentially through disciplined pricing and volume recovery [1]. FY2026 EPS guidance above $6.00, with analysts projecting $6.92 [2]. The company is implementing ~$500M in price increases to offset raw material and distribution inflation [1].</w:t>
      </w:r>
    </w:p>
    <w:p>
      <w:r>
        <w:rPr>
          <w:rFonts w:ascii="Calibri" w:hAnsi="Calibri"/>
          <w:b/>
          <w:color w:val="6E8450"/>
          <w:sz w:val="18"/>
        </w:rPr>
        <w:t>13,000 Employees · https://www.eastman.com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Eastman's molecular recycling technology (Eastman Renew, Tritan Renew copolyesters) represents genuine innovation in circular plastics — breaking down waste plastic into molecular components for reuse. However, this initiative is still scaling and has not yet transformed the company's revenue profile. The core specialty chemicals portfolio has been maintained through incremental improvements rather than breakthrough launches [3]. AI Deployment (0/2): No evidence of AI-powered products shipping to customers or quantified AI-driven cost savings. Glassdoor reviews specifically note 'little investment in new technology and innovation' as a concern [3]. Market Share (1/2): Eastman holds leading positions in niche specialty markets — #1 in cellulose acetate tow (declining cigarette filter market), strong positions in PVB interlayer sheets (automotive/architectural glass) and specialty copolyesters (Tritan). These are meaningful but niche, and the cellulose acetate position faces secular headwinds from declining global smoking rates [3]. Pipeline (0/2): The Kingsport molecular recycling facility is the major capital investment, but no specific next-generation product launches with dates and revenue visibility were identified [3]. R&amp;D Intensity (0/1): R&amp;D spending is moderate for the specialty chemicals sector. No evidence of above-industry-average R&amp;D investment, and employee reviews cite insufficient technology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Eastman's purpose statement — 'To enhance the quality of life in a material way' — is specific, thoughtful, and distinctly connects specialty materials to human wellbeing. The wordplay on 'material' reflects genuine intentionality and differentiates from generic peer statements. It has been consistent across CEO Mark Costa's 12-year tenure and guides the company's sustainability and circular economy investments. However, it lacks the transformative, decade-proven competitive advantage quality of a 4 [3]. Community Impact (1/2): Eastman has a major community presence in Kingsport, TN, maintains ESG targets including sustainability objectives in executive compensation, and publishes detailed ESG data sheets. However, the Kingsport plant's environmental track record is mixed — $45,500 fine in 2023 for air quality violations, class action lawsuit from a 2022 explosion, and ranking 24th on the Toxic 100 Water Polluters Index [3]. Employee Retention (1/2): CEO Mark Costa has led Eastman since 2014 — 12 years of leadership continuity providing strategic stability. Glassdoor rating of 3.3/5 (2,605 reviews) is below average, with mixed feedback: positive on inclusion and diversity, negative on technology investment and strategic direction [3]. Average retention for the industry. Insider Buying (0/2): No meaningful insider buying identified. Recent insider activity includes stock gifts and option exercises with sales. Net selling direction for officers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across 10 weighted metrics (6 core + 4 dividend). D/E of 88.5% scores 0.92 — total debt of $5.47B against $693M cash is elevated for the sector but below the 300% floor [4]. ROE of 7.33% scores 0.49 — below the 15% target, reflecting margin compression in a cyclical trough year [4]. Revenue growth YoY of 9.9% scores 1.0, approaching the 10% target as volumes recover from 2025 lows [1]. Revenue 5yr CAGR of approximately 0.6% scores 0.37 — essentially flat over 5 years as 2022 commodity cycle peak has faded [4]. Forward P/E of 9.69 scores 1.0 — significantly below the 20 target, reflecting depressed cyclical valuation and EPS recovery expectations [4]. Profit margin of 4.99% scores 0.25 — compressed by raw material inflation and cyclical trough, though improving sequentially with $500M in price increases being implemented [1]. Payout ratio of 87.2% scores 0.21 — stretched by depressed earnings (normal payout is ~50% at mid-cycle earnings). Consecutive years paid of 32+ scores 1.0 (2× weight) — unbroken dividend since 1994 [4]. Consecutive years growth of 16 scores 1.0 — continuous annual increases since 2010 [4]. 5yr dividend growth CAGR of 4.5% scores 0.75 (2× weight) — below the 6% target but consistent. Liquidity: $76.4M daily trading value easily clears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Eastman Chemical demonstrates solid infinite-game foundations through Sinek's lens, anchored by 106 years of continuous operation, a thoughtful purpose statement ('enhance the quality of life in a material way'), 12 years of CEO continuity under Mark Costa, and 16 consecutive years of dividend growth. The company's investment in molecular recycling technology reflects forward-looking sustainability thinking. However, the organization shows finite tendencies: compressed margins being addressed primarily through $500M in price increases rather than innovation, mixed Glassdoor reviews citing inadequate technology investment, and environmental violations at the Kingsport facility that conflict with the sustainability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Eastman's purpose — 'To enhance the quality of life in a material way' — is distinctive and has been consistent for over a decade. The company's 106-year history demonstrates endurance beyond any single product or leader. The recent investment in molecular recycling (Eastman Renew) aligns the business with a larger sustainability cause — creating a circular materials economy. Strategic decisions, including executive compensation tied to ESG objectives, can be traced back to this purpose [3]. Falls short of a 3 because the purpose has not yet been fully validated as a competitive advantage — the recycling initiative is still scaling, and the core cellulose acetate business faces secular decline.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Costa's 12-year tenure provides leadership stability, and Eastman's direct reporting structure (no COO, CEO directly overseeing all functions) suggests confidence in functional leaders. Glassdoor 3.3/5 based on 2,605 reviews is below average, with employees praising inclusion/diversity culture but criticizing strategic direction and technology investment [3]. The company's fosters 'inclusion and diversity, collaboration, and team member involvement,' but some employees describe leadership as insufficiently strategic. Adequate but not exceptional organizational trust for a 106-year-old manufacturer.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Eastman competes against BASF, Dow Chemical, Celanese, and DuPont. The company's competitive strategy focuses on specialty differentiation (Tritan copolyesters, cellulose biopolymers, molecular recycling) rather than commodity price wars — winning through unique material properties rather than trying to defeat rivals [3]. Management commentary emphasizes 'disciplined pricing' and 'specialty business' positioning, reflecting a competitive approach focused on self-improvement and niche leadership rather than market share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Eastman has evolved meaningfully over its 106-year history — from Eastman Kodak's chemical division to an independent specialty materials company, and now investing in circular economy technology (molecular recycling). The acquisition of Solutia (2012) and Taminco (2014) expanded into specialty additives and functional products. These represent incremental business model evolution rather than transformative reinvention [3]. The molecular recycling initiative could become a transformative pivot if it scales, but it has not yet materially changed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Costa invested in the Kingsport molecular recycling facility despite uncertain returns and environmental criticism — a long-term bet on circular economy principles. The company is implementing $500M in price increases to protect margins during a cyclical trough rather than cutting dividends or slashing R&amp;D [1]. However, there are no examples of truly painful decisions — exiting profitable businesses, making bets that sacrifice current earnings for future capability. The 87.2% payout ratio stretches the dividend rather than making the harder decision to reset it, reflecting finite-game financial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Eastman Chemical trades at a deeply cyclical trough valuation of 9.69x forward earnings, pricing in margin compression from raw material inflation and soft end-market demand. Analysts project EPS recovery to $6.92 from a depressed $3.84 TTM, supported by $500M in implemented price increases and volume recovery (Q1 2026 sales +15% sequentially, Q2 margins +350bps sequentially) [1][2]. The 5.01% dividend yield is the highest in 15 years and underpinned by 16 consecutive years of growth and a 32-year unbroken payment history, providing income while waiting for the cycle to turn [4]. Eastman Renew molecular recycling technology positions the company for a secular shift toward circular economy materials, with potential regulatory tailwinds from plastic recycling mandates in Europe and North America. The PEG ratio of 0.52 suggests significant undervaluation relative to expected earnings growth.</w:t>
      </w:r>
    </w:p>
    <w:p>
      <w:pPr>
        <w:spacing w:after="120"/>
      </w:pPr>
      <w:r>
        <w:rPr>
          <w:rFonts w:ascii="Calibri" w:hAnsi="Calibri"/>
          <w:b w:val="0"/>
          <w:color w:val="3A4A28"/>
          <w:sz w:val="20"/>
        </w:rPr>
        <w:t>The bear case centers on cyclical vulnerability and structural headwinds. The 87.2% payout ratio is unsustainably stretched at trough earnings — at $3.84 TTM EPS and $3.36 annual dividend, the company is paying out nearly all earnings [4]. If the anticipated EPS recovery to $6.92 fails to materialize due to persistent demand weakness or commodity volatility, a dividend cut becomes a real risk. D/E of 88.5% with $5.47B in debt against $693M cash limits financial flexibility during an extended downturn [4]. Revenue has been essentially flat over 5 years (0.6% CAGR), with 2022's $10.58B peak driven by commodity supercycle pricing rather than organic growth. The Kingsport facility carries environmental liability risk — $45,500 fine for air quality violations (October 2023), class action lawsuit from a 2022 explosion, and ranking 24th on the Toxic 100 Water Polluters Index [3]. The Fibers segment (cellulose acetate tow for cigarette filters) faces secular decline as global smoking rates fall. Profit margin of 4.99% is well below the 20% specialty materials target, reflecting cost pass-through dynamics rather than value-added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recovery from cyclical trough: $500M in implemented price increases and sequential volume improvement should close the gap from $3.84 TTM EPS toward the $6.92 analyst consensus, compressing the 9.69x forward P/E to even more attractive levels [1][2]</w:t>
      </w:r>
    </w:p>
    <w:p>
      <w:pPr>
        <w:spacing w:before="40" w:after="40"/>
        <w:ind w:left="283"/>
      </w:pPr>
      <w:r>
        <w:rPr>
          <w:rFonts w:ascii="Calibri" w:hAnsi="Calibri"/>
          <w:b/>
          <w:color w:val="4A6B25"/>
          <w:sz w:val="20"/>
        </w:rPr>
        <w:t xml:space="preserve">2. </w:t>
      </w:r>
      <w:r>
        <w:rPr>
          <w:rFonts w:ascii="Calibri" w:hAnsi="Calibri"/>
          <w:b w:val="0"/>
          <w:color w:val="3A4A28"/>
          <w:sz w:val="20"/>
        </w:rPr>
        <w:t>Eastman Renew molecular recycling scale-up could transform the company's growth profile and valuation multiple if plastic recycling mandates in the EU and North America create regulatory tailwinds for recycled-content specialty materials [3]</w:t>
      </w:r>
    </w:p>
    <w:p>
      <w:pPr>
        <w:spacing w:before="40" w:after="40"/>
        <w:ind w:left="283"/>
      </w:pPr>
      <w:r>
        <w:rPr>
          <w:rFonts w:ascii="Calibri" w:hAnsi="Calibri"/>
          <w:b/>
          <w:color w:val="4A6B25"/>
          <w:sz w:val="20"/>
        </w:rPr>
        <w:t xml:space="preserve">3. </w:t>
      </w:r>
      <w:r>
        <w:rPr>
          <w:rFonts w:ascii="Calibri" w:hAnsi="Calibri"/>
          <w:b w:val="0"/>
          <w:color w:val="3A4A28"/>
          <w:sz w:val="20"/>
        </w:rPr>
        <w:t>Payout ratio normalization as earnings recover toward mid-cycle levels ($7-8 EPS) would restore the dividend growth trajectory and re-rate the stock for income-focused investors who have been deterred by the stretched 87.2% payout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87.2% at trough earnings is unsustainable — if EPS recovery stalls below $6.00, the $3.36 annual dividend faces a real cut risk, which would damage the 16-year growth streak and trigger income-focused selling [4]</w:t>
      </w:r>
    </w:p>
    <w:p>
      <w:pPr>
        <w:spacing w:before="40" w:after="40"/>
        <w:ind w:left="283"/>
      </w:pPr>
      <w:r>
        <w:rPr>
          <w:rFonts w:ascii="Calibri" w:hAnsi="Calibri"/>
          <w:b/>
          <w:color w:val="4A6B25"/>
          <w:sz w:val="20"/>
        </w:rPr>
        <w:t xml:space="preserve">2. </w:t>
      </w:r>
      <w:r>
        <w:rPr>
          <w:rFonts w:ascii="Calibri" w:hAnsi="Calibri"/>
          <w:b w:val="0"/>
          <w:color w:val="3A4A28"/>
          <w:sz w:val="20"/>
        </w:rPr>
        <w:t>Kingsport facility environmental and operational liability — recurring air quality violations (averaging 5 fines/year between 2016-2022), 2022 explosion class action, and Toxic 100 Water ranking create litigation and remediation cost risk [3]</w:t>
      </w:r>
    </w:p>
    <w:p>
      <w:pPr>
        <w:spacing w:before="40" w:after="40"/>
        <w:ind w:left="283"/>
      </w:pPr>
      <w:r>
        <w:rPr>
          <w:rFonts w:ascii="Calibri" w:hAnsi="Calibri"/>
          <w:b/>
          <w:color w:val="4A6B25"/>
          <w:sz w:val="20"/>
        </w:rPr>
        <w:t xml:space="preserve">3. </w:t>
      </w:r>
      <w:r>
        <w:rPr>
          <w:rFonts w:ascii="Calibri" w:hAnsi="Calibri"/>
          <w:b w:val="0"/>
          <w:color w:val="3A4A28"/>
          <w:sz w:val="20"/>
        </w:rPr>
        <w:t>Fibers segment secular decline as global cigarette consumption falls; cellulose acetate tow is a declining end-market with limited substitution options, structurally compressing a segment that provides steady but shrinking cash flow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Eastman's core business — manufacturing specialty chemicals and materials through physical chemical processes in plants like the 106-year-old Kingsport facility — is highly protected from AI substitution. Chemical manufacturing requires physical reactors, feedstocks, supply chains, regulatory compliance, and deep process engineering expertise. AI cannot produce copolyesters, PVB sheets, or cellulose acetate tow. Eastman's products are sold to manufacturing customers (automotive, construction, electronics) who need tangible physical materials [3]. Some exposure exists: AI could optimize chemical process efficiency for competitors, and AI-driven materials design could accelerate development of substitute materials. The company's modest technology investment (per Glassdoor reviews) suggests it may be slow to capture AI-driven process improvements [3]. AI Opportunity (0/1): No evidence of AI-generated revenue or AI-powered products. Eastman is a traditional specialty chemicals manufacturer without meaningful AI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Eastman Chemical Q2 2026 Earnings Release — Revenue ~$2.40B (+4.8% YoY), EBIT Margin +350bps Sequentially, $500M Price Increases Implemented, FY2026 EPS Guidance Above $6.00, July 2026</w:t>
      </w:r>
    </w:p>
    <w:p>
      <w:pPr>
        <w:spacing w:before="20" w:after="20"/>
        <w:ind w:left="170"/>
      </w:pPr>
      <w:r>
        <w:rPr>
          <w:rFonts w:ascii="Calibri" w:hAnsi="Calibri"/>
          <w:b/>
          <w:color w:val="4A6B25"/>
          <w:sz w:val="15"/>
        </w:rPr>
        <w:t xml:space="preserve">2. </w:t>
      </w:r>
      <w:r>
        <w:rPr>
          <w:rFonts w:ascii="Calibri" w:hAnsi="Calibri"/>
          <w:b w:val="0"/>
          <w:color w:val="3A4A28"/>
          <w:sz w:val="17"/>
        </w:rPr>
        <w:t>Eastman Chemical Q1 2026 Earnings Release — Sales +15% Sequentially, 240bps EBIT Margin Improvement, Volume Recovery Across Segments, Analysts Forecast $6.92 EPS for FY2026, April 2026</w:t>
      </w:r>
    </w:p>
    <w:p>
      <w:pPr>
        <w:spacing w:before="20" w:after="20"/>
        <w:ind w:left="170"/>
      </w:pPr>
      <w:r>
        <w:rPr>
          <w:rFonts w:ascii="Calibri" w:hAnsi="Calibri"/>
          <w:b/>
          <w:color w:val="4A6B25"/>
          <w:sz w:val="15"/>
        </w:rPr>
        <w:t xml:space="preserve">3. </w:t>
      </w:r>
      <w:r>
        <w:rPr>
          <w:rFonts w:ascii="Calibri" w:hAnsi="Calibri"/>
          <w:b w:val="0"/>
          <w:color w:val="3A4A28"/>
          <w:sz w:val="17"/>
        </w:rPr>
        <w:t>Eastman Chemical Leadership, Culture &amp; ESG — CEO Mark Costa (12-Year Tenure), Glassdoor 3.3/5, Molecular Recycling, Kingsport Environmental Issues ($45.5K Fine, Class Action), MSCI BBB ESG Rating,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Eastman Chemical Financial Statistics — Yahoo Finance, StockAnalysis: Stock Price $67.00, Forward P/E 9.69, PEG 0.52, D/E 88.5%, Dividend Yield 5.01%, Payout Ratio 87.2%, 32-Year Payment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