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EMR</w:t>
      </w:r>
      <w:r>
        <w:rPr>
          <w:rFonts w:ascii="Calibri" w:hAnsi="Calibri"/>
          <w:b/>
          <w:color w:val="1A2010"/>
          <w:sz w:val="40"/>
        </w:rPr>
        <w:t xml:space="preserve">  Emerson Electric Co.</w:t>
      </w:r>
    </w:p>
    <w:p>
      <w:pPr>
        <w:spacing w:after="120"/>
      </w:pPr>
      <w:r>
        <w:rPr>
          <w:rFonts w:ascii="Calibri" w:hAnsi="Calibri"/>
          <w:b/>
          <w:color w:val="6E8450"/>
          <w:sz w:val="18"/>
        </w:rPr>
        <w:t>GROWTH SLEEVE · 2026-09-02 · Inspire: -49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Industrial Machinery · NYSE · United States</w:t>
      </w:r>
    </w:p>
    <w:p>
      <w:pPr>
        <w:spacing w:after="80"/>
      </w:pPr>
      <w:r>
        <w:rPr>
          <w:rFonts w:ascii="Calibri" w:hAnsi="Calibri"/>
          <w:b w:val="0"/>
          <w:color w:val="3A4A28"/>
          <w:sz w:val="20"/>
        </w:rPr>
        <w:t>Emerson Electric Co. is a global automation technology leader providing intelligent devices, software, and control systems across process, hybrid, and discrete industries. Following the transformative $11B+ AspenTech acquisition and divestiture of Climate Technologies (Copeland), Emerson has repositioned as a pure-play automation company serving power, LNG, life sciences, semiconductor, and AI data center industries. Under CEO Lal Karsanbhai (since February 2021), the company reported Q3 FY2026 EPS of $1.71 (beating consensus by $0.03), raised full-year adjusted EPS guidance to ~$6.55, and ended June 2026 with a $9.6B backlog [1]. The company is a Dividend King with 69 consecutive years of dividend increases. Market cap approximately $85B.</w:t>
      </w:r>
    </w:p>
    <w:p>
      <w:r>
        <w:rPr>
          <w:rFonts w:ascii="Calibri" w:hAnsi="Calibri"/>
          <w:b/>
          <w:color w:val="6E8450"/>
          <w:sz w:val="18"/>
        </w:rPr>
        <w:t>67,000 Employees · https://www.emerson.com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Emerson completed a transformative portfolio restructuring over 2022-2025, acquiring AspenTech (enterprise optimization software and AI) for $11B+ while divesting Climate Technologies/Copeland ($4.4B revenue) and InSinkErator, fundamentally repositioning from a diversified industrial conglomerate to a focused automation technology leader [1][2]. This is one of the most ambitious industrial portfolio transformations in recent corporate history. AI Deployment (2/2): AspenTech's AI-enabled industrial software ships to customers across process industries, generating measurable efficiency gains. Nigel.ai launched as an AI author for LabVIEW, and Emerson integrates AI directly into core engineering tools for validation workflows [2]. Ovation power-plant control software won a 1.7GW AI data center automation contract, directly embedding AI in revenue generation. Market Share (1/2): Emerson is a leading industrial automation company but competes with Honeywell, ABB, Siemens, and Rockwell Automation. Market leadership in specific niches (process measurement, control valves, Ovation power plant controls) but not overall automation market dominance. Product Pipeline (1/2): ASPIRE targets of $21B revenue, 30% EBITA margin, and $8.00 EPS by FY2028 provide multi-year visibility. Software &amp; Systems grew 23%, and Ovation orders surged 74% driven by AI data center demand [1]. R&amp;D Intensity (1/1): Heavy R&amp;D investment through AspenTech's world-class software development capabilities, well above industrial peer average.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Emerson's purpose statement of 'where technology meets purpose' connects its 136-year industrial technology heritage to enabling essential industries — power generation, life sciences, water treatment, food production [2]. The mission is clear and relevant but not deeply distinctive from other industrial automation companies. Community Impact (1/2): The 2025 Sustainability Report demonstrates meaningful environmental commitment — Scope 1+2 GHG emissions reduced 49% since 2021, energy intensity down 27% [3]. Diversity goal to double women globally and US minorities at leadership level by 2030. However, no specific charitable programs or community investment dollar amounts were identified beyond the sustainability framework. Employee Retention (1/2): Emerson's 67,000-employee organization is stable with no major layoff headlines or cultural red flags. The 69 consecutive years of dividend increases reflect institutional stability and long-term organizational continuity. Average for a large industrial company without standout data either way.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stock (dividend yield 1.39% &lt; 2% threshold despite 69 consecutive years of increases). D/E of 69% scores at the maximum (just under the 70% target) [4]. ROE of 12.33% approaches but falls short of the 15% target (0.82 score at 2x weight). Forward P/E of 20.17 scores 0.996, essentially at the 20x target [4]. Revenue growth of ~5% in Q3 FY2026 GAAP scores 0.83, reflecting modest top-line growth during the automation portfolio transition [1]. Profit margin of 13.35% scores 0.67, reflecting industrial cost structures and ongoing AspenTech integration [4]. Forward PEG of ~2.30 scores 0.35 at 2x weight, dragged by the premium automation multiple against moderate near-term EPS growth [4]. Revenue 5-year CAGR data was unavailable and excluded from the calculation. Liquidity is ample at ~$430M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Emerson is a strong infinite game player, having demonstrated the courage to fundamentally reinvent a 136-year-old company by divesting profitable legacy businesses (Copeland, InSinkErator) and investing $11B+ in software capabilities through AspenTech. The 69 consecutive years of dividend growth reflect exceptional institutional consistency unmatched by almost any public company. The AspenTech acquisition implicitly acknowledges a competitor's superior software capabilities, reflecting a worthy rival mindset. The purpose articulation remains at the corporate strategy level rather than as a deeply transformative Just Cause, and the ongoing cultural integration between traditional industrial and software talent introduces execution uncertainty.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Emerson's purpose of enabling the world's essential industries through automation technology connects to a genuine societal need — making power generation, water treatment, food production, and pharmaceutical manufacturing safer, more efficient, and more sustainable [2]. The 136-year history demonstrates remarkable consistency of purpose across industrial eras. The portfolio transformation under Karsanbhai strengthened this cause by focusing exclusively on automation. However, 'enabling essential industries' lacks the transformative articulation of a Just Cause that describes a future state so compelling people sacrifice to advance it.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Emerson's 67,000-employee organization maintains an engineering-driven culture with leadership stability under CEO Karsanbhai [2]. The 2025 Sustainability Report's commitment to doubling diversity representation by 2030 and the 49% emissions reduction show organizational alignment around stated goals [3]. However, the AspenTech acquisition requires merging software-first talent with a traditional industrial workforce — an ongoing cultural integration challenge. No specific employee tenure or turnover data identified.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The AspenTech acquisition is implicitly a worthy rival acknowledgment — rather than insisting on building inferior internal software capabilities, Emerson recognized that AspenTech possessed superior AI and process optimization expertise and acquired that capability [2]. The integration of AspenTech's data science talent demonstrates willingness to learn from others' strengths rather than compete to destroy. Q3 FY2026 commentary framed the 7% underlying order growth as driven by competitive positioning and customer value creation rather than market share warfare [1].</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transformation from diversified industrial conglomerate (climate tech, waste disposal, industrial automation) to pure-play automation technology company represents genuinely transformative existential flexibility [1][2]. Selling Copeland and InSinkErator — businesses that had been part of Emerson for decades — and betting $11B+ on AspenTech software required abandoning what was working in service of what the cause demanded. The pivot was driven by strategic vision of automation's future, not desperation, and is Sinek's definition of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Emerson under CEO Karsanbhai executed one of the most courageous portfolio transformations in industrial history — divesting the profitable Climate Technologies/Copeland business ($4.4B revenue) and InSinkErator to fund the $11B+ AspenTech acquisition, fundamentally reinventing a 136-year-old diversified conglomerate into a focused automation technology company [1][2]. This represents a pattern of leadership choosing long-term capability over short-term earnings stability, walking away from profitable but misaligned businesses in service of a strategic vision. Maintaining 69 consecutive years of dividend increases through this transformation demonstrates fiscal discipline alongside strategic boldness.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Emerson has executed one of the most ambitious industrial portfolio transformations in recent history, divesting legacy businesses and acquiring AspenTech for $11B+ to become a pure-play automation technology leader with a self-reinforcing AI data flywheel [1][2]. Q3 FY2026 delivered EPS of $1.71 (beating consensus by $0.03) with underlying orders up 7% for the fourth consecutive quarter. FY2026 adjusted EPS guidance was raised to ~$6.55 with ~$3.6B in free cash flow, and the backlog grew to $9.6B — up 17% sequentially — with 75% expected to convert within 12 months [1]. Software &amp; Systems orders surged 23% and Ovation power-related orders jumped 74% driven by AI data center demand. The ASPIRE targets of $21B revenue, 30% EBITA margin, and $8.00 EPS by FY2028 outline a clear path to margin expansion. With 69 consecutive years of dividend growth, Emerson is a Dividend King operating at the intersection of industrial reliability and AI-driven transformation.</w:t>
      </w:r>
    </w:p>
    <w:p>
      <w:pPr>
        <w:spacing w:after="120"/>
      </w:pPr>
      <w:r>
        <w:rPr>
          <w:rFonts w:ascii="Calibri" w:hAnsi="Calibri"/>
          <w:b w:val="0"/>
          <w:color w:val="3A4A28"/>
          <w:sz w:val="20"/>
        </w:rPr>
        <w:t>At 20.17x forward earnings (on adjusted EPS), Emerson's valuation assumes successful execution of the margin expansion from 13.35% profit margin toward the 30% EBITA target — a significant gap that carries real execution risk [4]. GAAP trailing P/E of 31.73 reflects restructuring charges from the portfolio transformation. Revenue growth of ~5% GAAP (3.5% underlying) is modest for a premium automation valuation, and the portfolio transformation makes historical comparisons difficult [1]. The AspenTech cultural integration — merging software-first talent with a traditional industrial workforce of 67,000 — remains an ongoing challenge that could drive talent attrition. The Inspire Impact Score of -49 (MISALIGNED due to LGBT Activism) may limit allocation for faith-based investors, despite 16 positive ESG attributions including Business Resilience, Product Safety, and GHG Emissions [3]. The 1.39% dividend yield, while backed by 69 years of increases, falls below the 2% threshold for Dividend sleeve classification.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automation demand driving Ovation order growth of 74% with power-related backlog surging as hyperscaler capex accelerates — the $9.6B total backlog provides strong revenue visibility with 75% expected to convert in 12 months [1]</w:t>
      </w:r>
    </w:p>
    <w:p>
      <w:pPr>
        <w:spacing w:before="40" w:after="40"/>
        <w:ind w:left="283"/>
      </w:pPr>
      <w:r>
        <w:rPr>
          <w:rFonts w:ascii="Calibri" w:hAnsi="Calibri"/>
          <w:b/>
          <w:color w:val="4A6B25"/>
          <w:sz w:val="20"/>
        </w:rPr>
        <w:t xml:space="preserve">2. </w:t>
      </w:r>
      <w:r>
        <w:rPr>
          <w:rFonts w:ascii="Calibri" w:hAnsi="Calibri"/>
          <w:b w:val="0"/>
          <w:color w:val="3A4A28"/>
          <w:sz w:val="20"/>
        </w:rPr>
        <w:t>ASPIRE margin expansion path from 13.35% profit margin toward 30% EBITA target through AspenTech software mix shift, operational leverage, and restructuring completion by FY2028 [1][4]</w:t>
      </w:r>
    </w:p>
    <w:p>
      <w:pPr>
        <w:spacing w:before="40" w:after="40"/>
        <w:ind w:left="283"/>
      </w:pPr>
      <w:r>
        <w:rPr>
          <w:rFonts w:ascii="Calibri" w:hAnsi="Calibri"/>
          <w:b/>
          <w:color w:val="4A6B25"/>
          <w:sz w:val="20"/>
        </w:rPr>
        <w:t xml:space="preserve">3. </w:t>
      </w:r>
      <w:r>
        <w:rPr>
          <w:rFonts w:ascii="Calibri" w:hAnsi="Calibri"/>
          <w:b w:val="0"/>
          <w:color w:val="3A4A28"/>
          <w:sz w:val="20"/>
        </w:rPr>
        <w:t>Underlying orders growing 7% for four consecutive quarters led by Software &amp; Systems (+23%) and Test &amp; Measurement (+20%), demonstrating broad-based demand recovery across automation end markets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Margin expansion from 13.35% to 30% EBITA target requires significant execution across software mix shift, restructuring completion, and AspenTech integration — a gap of this magnitude has substantial risk of falling short [4]</w:t>
      </w:r>
    </w:p>
    <w:p>
      <w:pPr>
        <w:spacing w:before="40" w:after="40"/>
        <w:ind w:left="283"/>
      </w:pPr>
      <w:r>
        <w:rPr>
          <w:rFonts w:ascii="Calibri" w:hAnsi="Calibri"/>
          <w:b/>
          <w:color w:val="4A6B25"/>
          <w:sz w:val="20"/>
        </w:rPr>
        <w:t xml:space="preserve">2. </w:t>
      </w:r>
      <w:r>
        <w:rPr>
          <w:rFonts w:ascii="Calibri" w:hAnsi="Calibri"/>
          <w:b w:val="0"/>
          <w:color w:val="3A4A28"/>
          <w:sz w:val="20"/>
        </w:rPr>
        <w:t>Revenue growth of ~5% GAAP with 3.5% underlying growth is modest for a company valued at 20x forward earnings, and any macro softening in industrial capex could compress both growth and the multiple [1]</w:t>
      </w:r>
    </w:p>
    <w:p>
      <w:pPr>
        <w:spacing w:before="40" w:after="40"/>
        <w:ind w:left="283"/>
      </w:pPr>
      <w:r>
        <w:rPr>
          <w:rFonts w:ascii="Calibri" w:hAnsi="Calibri"/>
          <w:b/>
          <w:color w:val="4A6B25"/>
          <w:sz w:val="20"/>
        </w:rPr>
        <w:t xml:space="preserve">3. </w:t>
      </w:r>
      <w:r>
        <w:rPr>
          <w:rFonts w:ascii="Calibri" w:hAnsi="Calibri"/>
          <w:b w:val="0"/>
          <w:color w:val="3A4A28"/>
          <w:sz w:val="20"/>
        </w:rPr>
        <w:t>AspenTech cultural integration risk — merging a data science and software organization with a 136-year-old industrial engineering company requires sustained leadership attention and carries risk of talent attrition from both sides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IMMUNE. Emerson IS the AI infrastructure for industrial automation — its physical devices (sensors, valves, actuators, control systems) generate proprietary operational data that feeds AI models, creating a self-reinforcing competitive moat [2]. The Ovation power-plant control software secured a 1.7GW AI data center automation contract, directly linking Emerson to AI infrastructure buildout. Physical-world industrial automation requires hardware, installation, and maintenance that AI structurally cannot displace. AI adoption actually increases demand for Emerson's products — data centers need cooling, power management, and process control that Emerson provides. No analyst has identified AI substitution risk for the core business [1]. AI Opportunity (1/1): Emerson generates quantifiable AI-related revenue through AspenTech's AI-powered process optimization software, Nigel.ai (AI author for LabVIEW), and AI-driven data center automation solutions [2]. Software &amp; Systems orders grew 23%, and Ovation power-related orders surged 74% driven by AI data center demand in Q3 FY2026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Emerson Electric Q3 FY2026 Earnings — EPS $1.71 (beat by $0.03), Underlying Orders +7%, Backlog $9.6B (75% converting in 12 months), FY2026 Adjusted EPS Guidance ~$6.55, FCF ~$3.6B, Software &amp; Systems +23%, Ovation +74%, Motley Fool/Globe and Mail/MarketBeat, August 2026</w:t>
      </w:r>
    </w:p>
    <w:p>
      <w:pPr>
        <w:spacing w:before="20" w:after="20"/>
        <w:ind w:left="170"/>
      </w:pPr>
      <w:r>
        <w:rPr>
          <w:rFonts w:ascii="Calibri" w:hAnsi="Calibri"/>
          <w:b/>
          <w:color w:val="4A6B25"/>
          <w:sz w:val="15"/>
        </w:rPr>
        <w:t xml:space="preserve">2. </w:t>
      </w:r>
      <w:r>
        <w:rPr>
          <w:rFonts w:ascii="Calibri" w:hAnsi="Calibri"/>
          <w:b w:val="0"/>
          <w:color w:val="3A4A28"/>
          <w:sz w:val="17"/>
        </w:rPr>
        <w:t>Emerson Strategic Transformation and AI — CEO Lal Karsanbhai (since Feb 2021), $11B+ AspenTech Acquisition, Copeland/InSinkErator Divestitures, AspenTech AI Software, Nigel.ai, 1.7GW Data Center Win, AI Magazine/Klover.ai, 2022-2026</w:t>
      </w:r>
    </w:p>
    <w:p>
      <w:pPr>
        <w:spacing w:before="20" w:after="20"/>
        <w:ind w:left="170"/>
      </w:pPr>
      <w:r>
        <w:rPr>
          <w:rFonts w:ascii="Calibri" w:hAnsi="Calibri"/>
          <w:b/>
          <w:color w:val="4A6B25"/>
          <w:sz w:val="15"/>
        </w:rPr>
        <w:t xml:space="preserve">3. </w:t>
      </w:r>
      <w:r>
        <w:rPr>
          <w:rFonts w:ascii="Calibri" w:hAnsi="Calibri"/>
          <w:b w:val="0"/>
          <w:color w:val="3A4A28"/>
          <w:sz w:val="17"/>
        </w:rPr>
        <w:t>Emerson 2025 Sustainability Report — Scope 1+2 GHG Emissions Down 49% Since 2021, Energy Intensity Down 27%, Diversity Goals (Double Women/Minorities by 2030), MSCI ESG Rating: A, GuruFocus/emerson.com, May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FinanceCharts, Nasdaq, Sure Dividend — EMR Stock: $152.96, Forward P/E 20.17, Trailing P/E 31.73, D/E 69%, ROE 12.33%, Profit Margin 13.35%, PEG 2.30, Average Volume 2.81M, 69 Consecutive Years Dividend Increases (Dividend King),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