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ENOV</w:t>
      </w:r>
      <w:r>
        <w:rPr>
          <w:rFonts w:ascii="Calibri" w:hAnsi="Calibri"/>
          <w:b/>
          <w:color w:val="1A2010"/>
          <w:sz w:val="40"/>
        </w:rPr>
        <w:t xml:space="preserve">  Enovis Corporation</w:t>
      </w:r>
    </w:p>
    <w:p>
      <w:pPr>
        <w:spacing w:after="120"/>
      </w:pPr>
      <w:r>
        <w:rPr>
          <w:rFonts w:ascii="Calibri" w:hAnsi="Calibri"/>
          <w:b/>
          <w:color w:val="6E8450"/>
          <w:sz w:val="18"/>
        </w:rPr>
        <w:t>GROWTH SLEEVE · 2026-09-28 · Inspire: 55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NYSE · United States</w:t>
      </w:r>
    </w:p>
    <w:p>
      <w:pPr>
        <w:spacing w:after="80"/>
      </w:pPr>
      <w:r>
        <w:rPr>
          <w:rFonts w:ascii="Calibri" w:hAnsi="Calibri"/>
          <w:b w:val="0"/>
          <w:color w:val="3A4A28"/>
          <w:sz w:val="20"/>
        </w:rPr>
        <w:t>Enovis is a medical technology company developing clinically differentiated orthopedic solutions across two segments: Prevention &amp; Recovery (orthopedic bracing, hot/cold therapy, bone growth stimulators, electrical stimulators) and Reconstructive (hip, knee, shoulder, and extremities implants, instrumentation, and enabling technologies such as the ARVIS augmented-reality surgical guidance system). Formerly Colfax Corporation, Enovis was rebranded in 2022 to focus exclusively on medical devices. CEO Damien McDonald (former LivaNova CEO) took over in May 2025. Full-year 2025 revenue was $2.25B (+7% reported, +6% organic), with 2026 guidance of $2.31-2.37B (4-6% organic growth) and adjusted EPS of $3.52-3.73.</w:t>
      </w:r>
    </w:p>
    <w:p>
      <w:r>
        <w:rPr>
          <w:rFonts w:ascii="Calibri" w:hAnsi="Calibri"/>
          <w:b/>
          <w:color w:val="6E8450"/>
          <w:sz w:val="18"/>
        </w:rPr>
        <w:t>7,802 Employees · https://www.enovis.com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Since the 2022 Colfax-to-Enovis pivot and 2023 LimaCorporate acquisition, Enovis has shipped multiple new products — the Nebula hip stem, OrthoDrive Surgical Impactor, and Augmented Reverse Glenoid in shoulder reconstruction — each contributing to Reconstructive segment growth of 10% reported / 8% organic in FY2025 [1][2]. AI Deployment (1/2): The ARVIS augmented-reality guided surgical system integrates data analytics into shoulder procedures and is marketed as positioning Enovis 'at the forefront' of AI-and-robotics-assisted minimally invasive surgery, though no specific AI-attributable revenue or cost savings have been quantified [2]. Market Share (1/2): Reconstructive growth of 11% reported / 6% organic in Q1 2026, with Extremities up 10% organic globally, shows real share gains in specific niches, though Enovis remains a mid-sized player behind Stryker, Zimmer Biomet, and Smith+Nephew [2]. Product Pipeline (2/2): Named, launched products with visible commercial traction (Nebula, OrthoDrive, Augmented Reverse Glenoid, ARVIS) demonstrate active pipeline execution rather than vague R&amp;D promises [2]. R&amp;D Intensity (1/1): The Enovis Business System (EBS), inherited from Danaher/Fortive operating DNA, drives continuous product and process investment above typical mid-cap medtech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Damien McDonald's 'Patients First' philosophy and the company's stated focus on 'creating better together' through clinically differentiated solutions is clear and specific, but the Enovis brand is only four years old and has not yet been validated by consistent execution through a full market cycle [2][3]. Community Impact (0/2): No dollar-quantified charitable or community investment program was identified in current research, despite the company having established ESG management frameworks covering workplace safety, energy efficiency, and human capital management. Employee Retention (0/2): No verifiable tenure or turnover data was found for the 7,802-employee organization. Insider Buying (0/2): No evidence of net insider buying was identified; the significant stock decline from $60+ to $18.46 has not been met with visible insider purchases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(PEG 2x, ROE 2x, Revenue 5yr CAGR 2x weighted). Forward P/E of 5.0 scores at target (1.0), reflecting the beaten-down stock price relative to expected adjusted earnings of $3.52-3.73 [3]. However, PEG ratio of 3.45 is above the 3.0 floor (score = 0 at 2x weight), a sharp deterioration from the prior screen's 0.63, reflecting dramatically reduced growth expectations. D/E of 92.6% scores 0.90, Revenue Growth YoY of 3.2% scores 0.77, and estimated 5yr Revenue CAGR of ~9.4% (acquisition-driven) scores 0.96 at 2x weight [1][4]. ROE of -54.14% and profit margin of -47.97% both floor at 0, driven by a second consecutive year of massive non-cash goodwill impairment — $501.3M in Q2 2026 following $645M in the year-ago quarter [1]. Positive free cash flow and adjusted EBITDA guidance of $425-435M show the underlying business generates cash beneath the GAAP distortions. Liquidity floor cleared: 1.46M avg daily volume x $18.46 = ~$27.0M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Enovis shows real infinite-game elements — a genuine patient-first cause reinforced by the EBS continuous-improvement culture and competitive language framed around clinical differentiation rather than destroying rivals — but two consecutive years of massive goodwill impairment ($645M then $501M) on the same LimaCorporate acquisition raise real doubts about whether management's capital allocation discipline matches its stated long-term vision. The stock's decline from $60+ to $18.46 tests whether leadership maintains strategic conviction.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CEO Damien McDonald's 'Patients First' philosophy and the mission to create 'clinically differentiated solutions' that generate 'measurably better patient outcomes' is genuine and shapes specific product decisions (Nebula, ARVIS, Augmented Reverse Glenoid), but the four-year-old Enovis brand has not been tested through a full market cycle or leadership crisis [1][2][3].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Enovis Business System provides a structured continuous-improvement framework inherited from Danaher/Fortive operating DNA, and the McDonald CEO transition in 2025 was managed with a retained executive advisor (former CEO) for continuity, but no external tenure, turnover, or culture survey data exists to confirm broader organizational trust across 7,802 employees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Enovis explicitly positions its EBS operating model and clinical-differentiation strategy in response to larger rivals' robotic platforms (Stryker Mako, Zimmer ROSA), framing the competition around improving its own precision-surgery offering (ARVIS) rather than destroying market share — management commentary focuses on 'closing the technology gap' rather than 'winning against' competitors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foundational pivot from diversified industrial conglomerate (Colfax Corporation) to pure-play medical devices (Enovis) in 2022 was a genuine existential transformation, but recent activity — new product launches, segment growth — represents incremental execution within that established strategy rather than a fresh strategic pivot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continues investing in the Reconstructive segment and new product launches despite absorbing a second consecutive year of massive goodwill impairment ($501.3M in Q2 2026 following $645M a year earlier) and a 70%+ stock price decline — persistence through repeated write-downs shows resolve, but the recurrence of impairments on the same LimaCorporate acquisition also raises doubt about whether this reflects courage or a capital-allocation misjudgment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Enovis trades at just 5.0x forward earnings (adjusted EPS guidance $3.52-3.73) with 2026 revenue guidance of $2.31-2.37B reflecting 4-6% organic growth — a deep value multiple if management can stabilize margins after two years of goodwill impairment charges [1][3]. The Reconstructive segment continues to outgrow the overall business (10% reported / 8% organic in FY2025, Extremities up 10% organic globally), and a steady cadence of named product launches (Nebula hip stem, ARVIS augmented-reality surgical guidance, Augmented Reverse Glenoid) shows the LimaCorporate-driven portfolio expansion is translating into real commercial traction [2]. Adjusted EBITDA guidance of $425-435M and positive free cash flow indicate the underlying cash-generative business remains sound beneath the GAAP distortions. The Inspire Impact Score of 55 (ALIGNED) is the strongest in this batch, with 14 positive attributions across business resilience, product safety, and environmental categories.</w:t>
      </w:r>
    </w:p>
    <w:p>
      <w:pPr>
        <w:spacing w:after="120"/>
      </w:pPr>
      <w:r>
        <w:rPr>
          <w:rFonts w:ascii="Calibri" w:hAnsi="Calibri"/>
          <w:b w:val="0"/>
          <w:color w:val="3A4A28"/>
          <w:sz w:val="20"/>
        </w:rPr>
        <w:t>The bear case is severe: shares have declined from $60+ to $18.46 as the market prices in two consecutive years of massive non-cash goodwill impairment — $501.3M in Q2 2026 following $645M in the year-ago quarter — both tied to the same LimaCorporate acquisition, driving TTM net income to approximately -$1.1B and flooring both ROE (-54.1%) and profit margin (-48.0%) [1][4]. The PEG ratio has deteriorated from 0.63 to 3.45, reflecting a collapse in growth expectations from ~11% EPS growth to ~1.5%. D/E of 92.6% is above the 70% target, and Sustainalytics rates Enovis's ESG risk management as average. The competitive landscape is intensifying as Stryker (Mako), Zimmer Biomet (ROSA), and Smith+Nephew invest aggressively in AI/robotics-enabled surgical platforms — ARVIS must gain surgeon adoption rapidly to avoid being marginalized. No insider buying despite the 70%+ stock decline signals a lack of leadership conviction at current prices.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Reconstructive segment sustaining high-single-digit organic growth as new products (Nebula hip stem, Augmented Reverse Glenoid) continue commercial ramp and ARVIS adoption expands [2]</w:t>
      </w:r>
    </w:p>
    <w:p>
      <w:pPr>
        <w:spacing w:before="40" w:after="40"/>
        <w:ind w:left="283"/>
      </w:pPr>
      <w:r>
        <w:rPr>
          <w:rFonts w:ascii="Calibri" w:hAnsi="Calibri"/>
          <w:b/>
          <w:color w:val="4A6B25"/>
          <w:sz w:val="20"/>
        </w:rPr>
        <w:t xml:space="preserve">2. </w:t>
      </w:r>
      <w:r>
        <w:rPr>
          <w:rFonts w:ascii="Calibri" w:hAnsi="Calibri"/>
          <w:b w:val="0"/>
          <w:color w:val="3A4A28"/>
          <w:sz w:val="20"/>
        </w:rPr>
        <w:t>Adjusted operating margin recovery toward historical levels as non-cash goodwill impairment charges roll off and the LimaCorporate integration matures [1]</w:t>
      </w:r>
    </w:p>
    <w:p>
      <w:pPr>
        <w:spacing w:before="40" w:after="40"/>
        <w:ind w:left="283"/>
      </w:pPr>
      <w:r>
        <w:rPr>
          <w:rFonts w:ascii="Calibri" w:hAnsi="Calibri"/>
          <w:b/>
          <w:color w:val="4A6B25"/>
          <w:sz w:val="20"/>
        </w:rPr>
        <w:t xml:space="preserve">3. </w:t>
      </w:r>
      <w:r>
        <w:rPr>
          <w:rFonts w:ascii="Calibri" w:hAnsi="Calibri"/>
          <w:b w:val="0"/>
          <w:color w:val="3A4A28"/>
          <w:sz w:val="20"/>
        </w:rPr>
        <w:t>ARVIS augmented-reality surgical platform adoption expanding as AI/robotics-assisted orthopedic surgery becomes standard of care, narrowing the technology gap with Stryker Mako and Zimmer ROSA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Two consecutive years of massive goodwill impairment ($501.3M in Q2 2026 after $645M a year earlier) on the same LimaCorporate acquisition raises real doubt about capital allocation discipline and the risk of further write-downs [1]</w:t>
      </w:r>
    </w:p>
    <w:p>
      <w:pPr>
        <w:spacing w:before="40" w:after="40"/>
        <w:ind w:left="283"/>
      </w:pPr>
      <w:r>
        <w:rPr>
          <w:rFonts w:ascii="Calibri" w:hAnsi="Calibri"/>
          <w:b/>
          <w:color w:val="4A6B25"/>
          <w:sz w:val="20"/>
        </w:rPr>
        <w:t xml:space="preserve">2. </w:t>
      </w:r>
      <w:r>
        <w:rPr>
          <w:rFonts w:ascii="Calibri" w:hAnsi="Calibri"/>
          <w:b w:val="0"/>
          <w:color w:val="3A4A28"/>
          <w:sz w:val="20"/>
        </w:rPr>
        <w:t>PEG ratio deterioration from 0.63 to 3.45 reflects collapsing growth expectations, and no insider buying despite a 70%+ stock price decline suggests leadership lacks near-term conviction [4]</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larger, better-capitalized rivals (Stryker, Zimmer Biomet, Smith+Nephew) with more mature robotic-surgery platforms that could erode Enovis's Reconstructive segment share gains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Enovis's core products — joint implants, orthopedic bracing, and surgical instrumentation — require physical manufacturing, FDA clearance, and in-person surgical procedures that AI cannot substitute for [1]. The residual risk is competitive rather than substitutive: larger rivals' AI/robotics-enabled surgical platforms (Stryker Mako, Zimmer ROSA) could shift surgeon preference away from Enovis's enabling technologies if it falls behind in AI-guided precision tools [2]. AI Opportunity (1/1): The ARVIS augmented-reality guided surgical system integrates data analytics into shoulder procedures and is being marketed as an AI-and-robotics-enabled minimally invasive surgery platform, giving Enovis a shipping, revenue-generating AI-adjacent product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Enovis FY2025 Results and Q2 2026 Earnings — Revenue $2.25B (+7%), Reconstructive +10% reported, $501.3M goodwill impairment Q2 2026, adj. EBITDA guidance $425-435M, 2026</w:t>
      </w:r>
    </w:p>
    <w:p>
      <w:pPr>
        <w:spacing w:before="20" w:after="20"/>
        <w:ind w:left="170"/>
      </w:pPr>
      <w:r>
        <w:rPr>
          <w:rFonts w:ascii="Calibri" w:hAnsi="Calibri"/>
          <w:b/>
          <w:color w:val="4A6B25"/>
          <w:sz w:val="15"/>
        </w:rPr>
        <w:t xml:space="preserve">2. </w:t>
      </w:r>
      <w:r>
        <w:rPr>
          <w:rFonts w:ascii="Calibri" w:hAnsi="Calibri"/>
          <w:b w:val="0"/>
          <w:color w:val="3A4A28"/>
          <w:sz w:val="17"/>
        </w:rPr>
        <w:t>Enovis Product Innovation and ARVIS — Nebula hip stem, OrthoDrive Surgical Impactor, Augmented Reverse Glenoid, ARVIS augmented-reality surgical guidance system, Extremities +10% organic</w:t>
      </w:r>
    </w:p>
    <w:p>
      <w:pPr>
        <w:spacing w:before="20" w:after="20"/>
        <w:ind w:left="170"/>
      </w:pPr>
      <w:r>
        <w:rPr>
          <w:rFonts w:ascii="Calibri" w:hAnsi="Calibri"/>
          <w:b/>
          <w:color w:val="4A6B25"/>
          <w:sz w:val="15"/>
        </w:rPr>
        <w:t xml:space="preserve">3. </w:t>
      </w:r>
      <w:r>
        <w:rPr>
          <w:rFonts w:ascii="Calibri" w:hAnsi="Calibri"/>
          <w:b w:val="0"/>
          <w:color w:val="3A4A28"/>
          <w:sz w:val="17"/>
        </w:rPr>
        <w:t>Enovis CEO and 2026 Guidance — Damien McDonald appointed CEO May 2025, 'Patients First' culture, 2026 revenue guidance $2.31-2.37B (4-6% organic), adj. EPS $3.52-3.73</w:t>
      </w:r>
    </w:p>
    <w:p>
      <w:pPr>
        <w:spacing w:before="20" w:after="20"/>
        <w:ind w:left="170"/>
      </w:pPr>
      <w:r>
        <w:rPr>
          <w:rFonts w:ascii="Calibri" w:hAnsi="Calibri"/>
          <w:b/>
          <w:color w:val="4A6B25"/>
          <w:sz w:val="15"/>
        </w:rPr>
        <w:t xml:space="preserve">4. </w:t>
      </w:r>
      <w:r>
        <w:rPr>
          <w:rFonts w:ascii="Calibri" w:hAnsi="Calibri"/>
          <w:b w:val="0"/>
          <w:color w:val="3A4A28"/>
          <w:sz w:val="17"/>
        </w:rPr>
        <w:t>Yahoo Finance — ENOV Key Statistics: Price $18.46, Forward P/E 5.0, PEG 3.45, D/E 92.56%, ROE -54.14%, Profit Margin -47.97%, Avg Volume 1.46M,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