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EPD</w:t>
      </w:r>
      <w:r>
        <w:rPr>
          <w:rFonts w:ascii="Calibri" w:hAnsi="Calibri"/>
          <w:b/>
          <w:color w:val="1A2010"/>
          <w:sz w:val="40"/>
        </w:rPr>
        <w:t xml:space="preserve">  Enterprise Products Partners L.P.</w:t>
      </w:r>
    </w:p>
    <w:p>
      <w:pPr>
        <w:spacing w:after="120"/>
      </w:pPr>
      <w:r>
        <w:rPr>
          <w:rFonts w:ascii="Calibri" w:hAnsi="Calibri"/>
          <w:b/>
          <w:color w:val="6E8450"/>
          <w:sz w:val="18"/>
        </w:rPr>
        <w:t>DIVIDEND SLEEVE · 2026-08-28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Enterprise Products Partners L.P. is one of the largest publicly traded partnerships and a leading North American provider of midstream energy services. The company operates approximately 50,000 miles of pipelines, 260 million barrels of NGL/crude/refined products storage, and 14 billion cubic feet of natural gas storage across four segments: NGL Pipelines &amp; Services, Crude Oil Pipelines &amp; Services, Natural Gas Pipelines &amp; Services, and Petrochemical &amp; Refined Products Services. Q2 2026 delivered record operational distributable cash flow of $2.3B (+21% YoY) on revenue of $18.27B, driven by higher marketing volumes and prices across crude oil, NGLs, and petrochemicals [1].</w:t>
      </w:r>
    </w:p>
    <w:p>
      <w:r>
        <w:rPr>
          <w:rFonts w:ascii="Calibri" w:hAnsi="Calibri"/>
          <w:b/>
          <w:color w:val="6E8450"/>
          <w:sz w:val="18"/>
        </w:rPr>
        <w:t>8,000 Employees · https://www.enterpriseproducts.com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EPD expanded its infrastructure through organic growth projects, including the second flex train at its ethane/propane export terminal (180,000 bpd ethane or 360,000 bpd propane capacity) ramping in H1 2026 and $6.9B in growth projects under construction [1]. Q2 2026 saw record DCF of $2.3B and continued volume growth across NGL pipelines, but these are incremental capacity additions rather than business model transformations. AI Deployment (0/2): No evidence of AI-powered products or quantified AI-driven cost savings in EPD's midstream operations; the company has not publicly discussed AI deployment in earnings calls or investor presentations [2]. Market Share (1/2): EPD is the dominant NGL midstream operator in North America, providing services across the full hydrocarbon value chain with 50,000+ miles of pipelines and leading positions in NGL fractionation and export [1]. Pipeline (1/2): $6.9B growth project backlog with the second flex train reaching full capacity and additional expansion projects, with Co-CEO Fowler guiding to ~10% EBITDA growth in 2027 as projects come online [1]. R&amp;D Intensity (0/1): Midstream MLPs do not invest in traditional R&amp;D — innovation comes through capital project execution, not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Enterprise Products' stated commitment to delivering energy products safely and reliably through a partnership structure that aligns management with unitholders is clear and well-executed but not distinctively purpose-driven — it describes operational excellence without articulating a deeper societal vision [3]. Community Impact (2/2): EPD publishes comprehensive sustainability reports through the EIC ESG framework, reporting on emissions reduction, community engagement, and safety metrics across its 50,000+ mile pipeline network [3]. The dedicated sustainability leadership and institutional commitment to community responsibility demonstrate genuine investment beyond profit. Employee Retention (1/2): EPD's co-CEO structure (Teague since 1999, Fowler since 2016) and founding Duncan family's continued involvement signal deep organizational stability and alignment, with Glassdoor rating of 4.0/5 across 564 reviews, though specific workforce retention data is not publicly available for the partnership [2]. Insider Buying (1/2): Insiders hold 33% of units — among the highest insider ownership levels in the midstream sector — and the partnership structure inherently aligns management distributions with unitholder returns, demonstrating long-term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as a Dividend stock with strong scores across most metrics. D/E of 107% scores 0.84 (elevated but within MLP norms given $34.2B total debt), ROE of 20% exceeds the 15% target (score 1.0), and Forward P/E of 12.63x is deeply attractive (score 1.0) [4]. TTM revenue of $58.47B grew 6.8% YoY (score 0.89), and 5yr revenue CAGR of approximately 10% scores 1.0 [1]. The distribution profile is EPD's cornerstone: 27 consecutive years of increases (score 1.0 at 1x weight), 27 consecutive years paid (score 1.0 at 2x weight), with Q2 2026 record DCF of $2.3B providing strong coverage [1][4]. The 5yr distribution growth CAGR of approximately 4.0% scores 0.67 (2x weight), reflecting conservative distribution policy prioritizing balance sheet strength. Profit margin of 10.68% scores 0.53 — modest due to revenue pass-through nature of midstream. Payout ratio of 77.5% scores 0.38. Weighted sum: 9.84/12 x 10 = 8. Liquidity easily cleared at $81.5M daily ($39.05 x 2.09M avg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Enterprise Products Partners exhibits strong infinite game characteristics — the co-CEO structure with 33% insider ownership, 27 consecutive years of distribution increases, and conservative balance sheet management all point to a company built for endurance rather than quarterly performance. The partnership model inherently aligns management with long-term unitholder interests, and the $6.9B growth project backlog demonstrates multi-year capital commitment. However, the incremental nature of EPD's strategic evolution (expanding capacity rather than reinventing the business) and the energy transition's structural pressure on hydrocarbons limit the Infinite 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EPD's purpose of delivering energy products safely and reliably through a partnership that aligns management with unitholders has been consistently executed for over 27 years since the 1998 IPO [1][3]. The founding Duncan family's continued involvement and 33% insider ownership create a structural alignment rare in corporate America. However, this is ultimately about reliable energy delivery and value creation rather than a transformative vision of a better future that transcends the business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co-CEO structure (Teague since 1999, Fowler since 2016) provides leadership continuity and stability rare in the midstream sector [2]. Glassdoor reviews rate the company 4.0/5 with 564 reviews, with employees citing 'meaningful work and good culture' and 'great environment and coworkers,' though some note 'extreme office politics and nepotism' [2]. The 33% insider ownership means management's wealth is directly tied to unitholder outcomes, creating a natural trust structure. The 8,000-employee workforce has relatively low turnover for the energy sector.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EPD operates in a competitive midstream landscape alongside Energy Transfer, MPLX, and Williams Companies, and management consistently positions EPD as differentiated through its integrated value chain and conservative financial management rather than by attacking competitors [1]. The company's focus on self-improvement metrics — distribution coverage, leverage targets, return on invested capital — rather than market share warfare reflects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EPD has evolved from a simple NGL pipeline operator to a fully integrated midstream platform spanning four segments across the hydrocarbon value chain, including significant petrochemical and export terminal capabilities [1]. The ethane/propane export terminal expansion and $6.9B growth project backlog represent adaptation to the global LPG and energy export market opportunity. These are meaningful but incremental evolutions rather than transformative reinventions of the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EPD maintained its distribution through the 2020 COVID oil price collapse when many MLP peers cut distributions, demonstrating conviction in the long-term cash flow durability of the business [1]. The company has consistently prioritized balance sheet strength over aggressive distribution growth (4.0% 5yr CAGR vs peers at 5-8%), choosing financial resilience over near-term yield competition — a patient approach that reflects long-term thinking even when criticized by income-focused investors. The $6.9B growth capex commitment during a period of energy transition uncertainty shows willingness to invest for the long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Enterprise Products Partners offers a compelling income investment with a tax-advantaged 5.74% distribution yield, 27 consecutive years of distribution increases, and record Q2 2026 DCF of $2.3B (+21% YoY) providing strong distribution coverage [1][4]. At $39.05 and 12.63x forward earnings, EPD trades at a significant discount to the S&amp;P 500 while offering one of the most defensible cash flow streams in energy — 50,000+ miles of pipelines, dominant NGL fractionation capacity, and growing export terminal capabilities. Q2 2026 revenue surged 60.8% YoY to $18.27B driven by higher marketing volumes and commodity prices, with net income of $1.84B ($0.84/unit) [1]. The $6.9B growth project backlog and second flex train reaching full capacity underpin ~10% EBITDA growth guidance for 2027. The 33% insider ownership (Duncan family) and completed buyback program align management with unitholders. Wells Fargo's upgrade to Overweight reflects growing analyst confidence in EPD's role in global energy logistics as AI-driven data center expansion increases natural gas demand.</w:t>
      </w:r>
    </w:p>
    <w:p>
      <w:pPr>
        <w:spacing w:after="120"/>
      </w:pPr>
      <w:r>
        <w:rPr>
          <w:rFonts w:ascii="Calibri" w:hAnsi="Calibri"/>
          <w:b w:val="0"/>
          <w:color w:val="3A4A28"/>
          <w:sz w:val="20"/>
        </w:rPr>
        <w:t>The bear case centers on EPD's exposure to energy transition risks and the cyclical nature of marketing-driven earnings. While Q2 2026 revenue surged 60.8%, this was driven by volatile marketing and trading activity rather than fee-based services — the sustainable growth rate is closer to the TTM revenue growth of 6.8% [1]. D/E of 107% with $34.2B in total debt is elevated relative to non-MLP peers, though typical for the midstream sector. The 77.5% payout ratio leaves limited room for distribution growth acceleration beyond the conservative 4.0% 5yr CAGR. Environmental risks are real: the EPA cited EPD in December 2025 for mishandling a 97,000-gallon gasoline spill near the Animas River in Colorado, with benzene contamination exceeding toxicity limits by 9x [5]. The partnership structure (K-1 tax reporting) limits the investor base. Long-term, the energy transition poses structural demand risk for hydrocarbon midstream infrastructure, though this is partially offset by AI-driven electricity demand growth. Profit margin of 10.68% reflects the pass-through nature of midstream revenue and limits earnings quality perception.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operational DCF of $2.3B (+21% YoY) demonstrates accelerating cash flow momentum, with the second flex train at full capacity and $6.9B growth projects coming online to drive ~10% EBITDA growth in 2027 [1]</w:t>
      </w:r>
    </w:p>
    <w:p>
      <w:pPr>
        <w:spacing w:before="40" w:after="40"/>
        <w:ind w:left="283"/>
      </w:pPr>
      <w:r>
        <w:rPr>
          <w:rFonts w:ascii="Calibri" w:hAnsi="Calibri"/>
          <w:b/>
          <w:color w:val="4A6B25"/>
          <w:sz w:val="20"/>
        </w:rPr>
        <w:t xml:space="preserve">2. </w:t>
      </w:r>
      <w:r>
        <w:rPr>
          <w:rFonts w:ascii="Calibri" w:hAnsi="Calibri"/>
          <w:b w:val="0"/>
          <w:color w:val="3A4A28"/>
          <w:sz w:val="20"/>
        </w:rPr>
        <w:t>AI data center expansion driving incremental natural gas demand — projected to significantly increase U.S. gas consumption by 2030, directly benefiting EPD's pipeline throughput volumes as evidenced by record 2026 NGL and gas volumes [1]</w:t>
      </w:r>
    </w:p>
    <w:p>
      <w:pPr>
        <w:spacing w:before="40" w:after="40"/>
        <w:ind w:left="283"/>
      </w:pPr>
      <w:r>
        <w:rPr>
          <w:rFonts w:ascii="Calibri" w:hAnsi="Calibri"/>
          <w:b/>
          <w:color w:val="4A6B25"/>
          <w:sz w:val="20"/>
        </w:rPr>
        <w:t xml:space="preserve">3. </w:t>
      </w:r>
      <w:r>
        <w:rPr>
          <w:rFonts w:ascii="Calibri" w:hAnsi="Calibri"/>
          <w:b w:val="0"/>
          <w:color w:val="3A4A28"/>
          <w:sz w:val="20"/>
        </w:rPr>
        <w:t>Completed buyback program and 33% insider ownership align management with unitholders, with consensus analyst price target of $41.45 representing 6.15% upside plus 5.74% distribution yield for ~12% total return potential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EPA citation for mishandling 97,000-gallon Colorado gasoline spill (benzene contamination 9x toxicity limit) highlights ongoing environmental liability risk across the 50,000+ mile pipeline network — additional incidents could trigger regulatory escalation [5]</w:t>
      </w:r>
    </w:p>
    <w:p>
      <w:pPr>
        <w:spacing w:before="40" w:after="40"/>
        <w:ind w:left="283"/>
      </w:pPr>
      <w:r>
        <w:rPr>
          <w:rFonts w:ascii="Calibri" w:hAnsi="Calibri"/>
          <w:b/>
          <w:color w:val="4A6B25"/>
          <w:sz w:val="20"/>
        </w:rPr>
        <w:t xml:space="preserve">2. </w:t>
      </w:r>
      <w:r>
        <w:rPr>
          <w:rFonts w:ascii="Calibri" w:hAnsi="Calibri"/>
          <w:b w:val="0"/>
          <w:color w:val="3A4A28"/>
          <w:sz w:val="20"/>
        </w:rPr>
        <w:t>Q2 2026 revenue surge of 60.8% was marketing/trading-driven and unsustainable — core fee-based growth is closer to mid-single digits, and near-term EBITDA growth was guided at only 3-5% for full-year 2026 before accelerating in 2027 [1]</w:t>
      </w:r>
    </w:p>
    <w:p>
      <w:pPr>
        <w:spacing w:before="40" w:after="40"/>
        <w:ind w:left="283"/>
      </w:pPr>
      <w:r>
        <w:rPr>
          <w:rFonts w:ascii="Calibri" w:hAnsi="Calibri"/>
          <w:b/>
          <w:color w:val="4A6B25"/>
          <w:sz w:val="20"/>
        </w:rPr>
        <w:t xml:space="preserve">3. </w:t>
      </w:r>
      <w:r>
        <w:rPr>
          <w:rFonts w:ascii="Calibri" w:hAnsi="Calibri"/>
          <w:b w:val="0"/>
          <w:color w:val="3A4A28"/>
          <w:sz w:val="20"/>
        </w:rPr>
        <w:t>Long-term energy transition risk as renewables and electrification reduce structural demand for hydrocarbon processing and transportation, potentially stranding midstream infrastructure assets over multi-decade horizons, with $34.2B in debt creating amplified downside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EPD's midstream infrastructure — 50,000+ miles of pipelines, NGL fractionation facilities, storage caverns, and marine export terminals — is physical-world infrastructure that AI structurally cannot displace [1]. Pipeline operations require physical assets, regulatory permits, right-of-way access, and decades of capital investment that no AI tool can replicate. Moreover, AI data center expansion is driving incremental electricity and natural gas demand, directly increasing throughput volumes on EPD's pipeline network — AI is a net demand driver for midstream energy services. Q2 2026 record DCF of $2.3B (+21% YoY) reflects the growing physical throughput that AI cannot substitute [1]. Analysts have identified zero AI substitution risk for midstream MLPs. AI Opportunity (1/1): EPD benefits from AI-driven demand growth — data centers are projected to significantly increase U.S. natural gas demand by 2030, directly increasing utilization of EPD's gas pipeline and NGL infrastructure, a trend already visible in record 2026 volumes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Enterprise Products Partners Q2 2026 Earnings Release — Revenue $18.27B (+60.8% YoY), Record DCF $2.3B (+21%), EPS $0.84, Net Income $1.84B, $6.9B Growth Project Backlog, July 2026</w:t>
      </w:r>
    </w:p>
    <w:p>
      <w:pPr>
        <w:spacing w:before="20" w:after="20"/>
        <w:ind w:left="170"/>
      </w:pPr>
      <w:r>
        <w:rPr>
          <w:rFonts w:ascii="Calibri" w:hAnsi="Calibri"/>
          <w:b/>
          <w:color w:val="4A6B25"/>
          <w:sz w:val="15"/>
        </w:rPr>
        <w:t xml:space="preserve">2. </w:t>
      </w:r>
      <w:r>
        <w:rPr>
          <w:rFonts w:ascii="Calibri" w:hAnsi="Calibri"/>
          <w:b w:val="0"/>
          <w:color w:val="3A4A28"/>
          <w:sz w:val="17"/>
        </w:rPr>
        <w:t>Enterprise Products Partners Leadership Team — Co-CEOs Teague and Fowler, Glassdoor 4.0/5 (564 Reviews), enterpriseproducts.com,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Enterprise Products Partners ESG and Sustainability Overview — EIC ESG Framework, Sustainalytics Medium ESG Risk, Community Engagement Programs,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EPD Key Statistics: Stock Price $39.05, Forward P/E 12.63x, Market Cap $84.33B, Distribution Yield 5.74%, 27 Consecutive Years Growth,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EPA Cites Enterprise Products for Colorado Gasoline Spill Mishandling — 97,000 Gallons, Benzene 9x Toxicity Limit, Colorado Sun, December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