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EQNR</w:t>
      </w:r>
      <w:r>
        <w:rPr>
          <w:rFonts w:ascii="Calibri" w:hAnsi="Calibri"/>
          <w:b/>
          <w:color w:val="1A2010"/>
          <w:sz w:val="40"/>
        </w:rPr>
        <w:t xml:space="preserve">  Equinor ASA</w:t>
      </w:r>
    </w:p>
    <w:p>
      <w:pPr>
        <w:spacing w:after="120"/>
      </w:pPr>
      <w:r>
        <w:rPr>
          <w:rFonts w:ascii="Calibri" w:hAnsi="Calibri"/>
          <w:b/>
          <w:color w:val="6E8450"/>
          <w:sz w:val="18"/>
        </w:rPr>
        <w:t>DIVIDEND SLEEVE · 2026-10-15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Integrated · NYQ · Norway</w:t>
      </w:r>
    </w:p>
    <w:p>
      <w:pPr>
        <w:spacing w:after="80"/>
      </w:pPr>
      <w:r>
        <w:rPr>
          <w:rFonts w:ascii="Calibri" w:hAnsi="Calibri"/>
          <w:b w:val="0"/>
          <w:color w:val="3A4A28"/>
          <w:sz w:val="20"/>
        </w:rPr>
        <w:t>Equinor ASA is a Norwegian integrated energy company engaged in exploration, production, refining, and marketing of oil, natural gas, and renewable energy. The company operates on the Norwegian Continental Shelf and internationally across 30+ countries, with a growing renewables portfolio focused on offshore wind, hydrogen, and carbon capture. Q2 2026 revenues surged 40% YoY to $35.18B driven by higher commodity prices, with net income of $4.84B (+267% YoY). The Norwegian government owns 67% of the company. Stock trades at $45.29 near its 52-week high of $45.84, with a market cap of $107B.</w:t>
      </w:r>
    </w:p>
    <w:p>
      <w:r>
        <w:rPr>
          <w:rFonts w:ascii="Calibri" w:hAnsi="Calibri"/>
          <w:b/>
          <w:color w:val="6E8450"/>
          <w:sz w:val="18"/>
        </w:rPr>
        <w:t>23,545 Employees · https://www.equinor.com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Equinor executed a meaningful strategic pivot from pure-play oil and gas to an integrated energy company, with the Statoil-to-Equinor rebrand (2018) signaling the transformation. Over the past five years, the company built Hywind Tampen (world's largest floating offshore wind farm), advanced Empire Wind off New York, developed Northern Lights CCS infrastructure, and delivered Johan Sverdrup Phase 2 — the most productive field on the Norwegian Continental Shelf [1]. AI Deployment (2/2): Equinor reported $130 million in quantified AI-driven savings in 2025, a specific and measurable result [2]. Deployments include predictive maintenance on 700+ rotating machines via the Omnia.Prevent platform, AI-assisted well and field planning that identified a Johan Sverdrup Phase 3 option saving the partnership $12M, and AI-accelerated seismic interpretation [2]. This represents scaled operational AI deployment with documented financial impact. Market Share (1/2): Equinor is the dominant operator on the Norwegian Continental Shelf and produces 2.165 million boe/d globally, ranking among the top 15 oil producers worldwide [1]. In offshore wind, the company is an emerging leader through Hywind and Empire Wind but has not yet achieved dominant share. Product Pipeline (1/2): Visible pipeline includes Empire Wind (progressing toward first power), Northern Lights CCS (operational), and continued NCS development with organic capex guided at ~$13B for 2026 [1]. Free cash flow projected to exceed $40B for 2026-2030. R&amp;D Intensity (1/1): Equinor invests above the integrated oil industry average in technology and digital innovation, with dedicated R&amp;D centers, the Omnia digital platform, and the technology leadership role of EVP Hege Skryseth driving AI and digitalization strategy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Equinor's purpose — 'turning natural resources into energy for people and progress' with a net zero by 2050 ambition — is clear and connects the company's work to societal progress beyond shareholder returns [1]. CEO Anders Opedal positions the energy transition as purpose-driven, and the Statoil-to-Equinor rebrand was a symbolic commitment to this broader mission. However, the fundamental tension between fossil fuel operations (&gt;90% of revenue) and the clean energy narrative limits the mission's distinctiveness — the cause is stated but not yet fully validated by execution. Community Impact (1/2): Equinor contributes structurally to Norwegian social welfare through the government's 67% ownership stake funding the $1.7T sovereign wealth fund [3]. The company has community investment programs in operating regions and publishes detailed sustainability reports. However, the Mongstad refinery environmental penalty dispute highlights the tension between community claims and operational reality [3]. Employee Retention (1/2): Equinor maintains a stable workforce of 23,545 employees benefiting from Norwegian corporate culture's emphasis on flat hierarchies, consensus-based decision-making, and strong labor protections [2]. CEO Opedal's engineering background and investment in digital literacy programs suggest a technically engaged workforce. No specific voluntary turnover data distinguishes Equinor from Norwegian corporate norms. Insider Buying (0/2): With 67% government ownership, insider buying dynamics differ fundamentally from typical public companies. No evidence of meaningful net insider buying by management was identified in recent searches.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Equinor demonstrates strong fundamentals with D/E of 75.2% slightly above the 70% target (score 0.98), ROE of 21.3% above the 15% target (score 1.0), and Forward P/E of 9.4x well below the 20x target (score 1.0) [4]. Revenue growth YoY of 37.4% scores perfectly, driven by Q2 2026 revenue surging 40% to $35.18B on higher commodity prices [1]. The 5-year revenue CAGR of approximately 5% (from cyclically low 2021 base) scores 0.67. Profit margin of 7.97% is the main drag (score 0.40), reflecting the high cost structure of integrated oil operations including exploration, refining, and growing renewables investment. Dividend metrics are mixed: payout ratio of 41.0% is at the target threshold (score 0.98), and consecutive years of payments (~27 years) scores 1.0 at 2x weight [4]. However, consecutive years of dividend growth is 0 (dividends declined from $3.60 in 2023 to $3.00 in 2024 to $1.46 in 2025), scoring 0.0. The 5-year dividend growth CAGR of 15.5% (from COVID-depressed 2020 base of $0.71 to 2025 $1.46) scores 1.0 at 2x weight, though this masks significant volatility. Daily dollar volume of $161M clears the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Equinor demonstrates meaningful infinite game characteristics through its multi-decade energy transition strategy, institutional stability from 67% Norwegian government ownership, and a willingness to invest billions in renewables that may not generate competitive returns for years. CEO Anders Opedal frames the energy transition as a business opportunity aligned with societal progress. However, the tension between the clean energy narrative and the reality of being primarily a fossil fuel company (&gt;90% of revenue from oil and gas) creates a credibility gap that Sinek would probe. The cause is articulated and partially funded, but not yet validated by the kind of painful sacrifice that distinguishes infinite from merely aspirational players.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Equinor's purpose — turning natural resources into energy for people and progress with a net zero by 2050 ambition — is genuine and has shaped significant capital allocation decisions, including plans for 50%+ of total investment in renewables and low-carbon solutions by 2030 [1][3]. The Statoil-to-Equinor rebrand was a symbolic but meaningful commitment. However, Sinek would note the cause has not survived a true existential test — the company still generates &gt;90% of revenue from fossil fuels, and the UK ASA greenwashing ruling suggests the narrative exceeds the execution. A Just Cause must be validated by decades of consistent action, not just stated ambition and capital allocation plans.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Equinor benefits from Norwegian corporate culture emphasizing flat hierarchies, consensus-based decision-making, and strong employee protections under collective bargaining agreements [2]. The 23,545-person workforce operates with robust labor laws and CEO Opedal has invested in digital literacy programs. The AI philosophy — 'AI augments human experts, not replaces them' — explicitly signals respect for workforce capabilities and psychological safety around technology adoption. However, no specific employee sentiment data or voluntary turnover figures distinguish Equinor from Norwegian corporate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Equinor's competitive posture explicitly acknowledges the strengths of supermajors like Shell and BP in energy transition execution, using competitive benchmarking to improve its own renewables strategy rather than seeking to destroy competitors [1]. The decision to partner with BP on Empire Wind and with Shell on Northern Lights CCS demonstrates willingness to collaborate with rivals when it serves the broader energy transition objective — classic infinite game behavior where the cause is bigger than any single player.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Statoil (a pure-play Norwegian oil company) to Equinor (an integrated energy company with significant renewables ambitions) represents meaningful strategic evolution [1]. The company has committed billions to offshore wind, CCS, and hydrogen — businesses that did not exist in its portfolio a decade ago. Hywind Scotland was the world's first floating offshore wind farm, demonstrating willingness to pioneer unproven technology. However, the pivot remains early-stage — fossil fuels still drive &gt;90% of revenue, and the company has not abandoned its core business in service of the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Equinor has made courageous long-term bets: investing billions in floating offshore wind before commercial viability was proven, committing to Northern Lights CCS infrastructure, targeting 50%+ renewable investment by 2030, and deploying AI across operations at scale when many oil companies resist digital transformation [1][2]. The $130M AI savings demonstrates willingness to invest in operational capability rather than just extraction efficiency. However, these investments are funded by high oil prices — the courage would be more convincing if renewables investment was maintained through an oil price downturn, a test that has not yet occurred.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Equinor at $45.29 with a forward P/E of 9.4x offers a dividend-paying energy major at the strongest point in its earnings cycle — Q2 2026 revenue surged 40% YoY to $35.18B with net income of $4.84B (+267%), and forward EPS of $4.82 implies continued earnings strength [1][4]. The 3.47% dividend yield with a 41% payout ratio provides income with room for growth, and ROE of 21.3% demonstrates effective capital deployment across the $107B market cap. The 67% Norwegian government ownership provides institutional stability and governance quality unmatched among oil majors. Equinor's dual positioning — dominant NCS oil operator plus emerging offshore wind leader with $130M in documented AI-driven operational savings — creates a differentiated investment case combining near-term cash generation with long-term energy transition optionality [2]. Free cash flow projected to exceed $40B for 2026-2030 funds both shareholder returns and transition investment.</w:t>
      </w:r>
    </w:p>
    <w:p>
      <w:pPr>
        <w:spacing w:after="120"/>
      </w:pPr>
      <w:r>
        <w:rPr>
          <w:rFonts w:ascii="Calibri" w:hAnsi="Calibri"/>
          <w:b w:val="0"/>
          <w:color w:val="3A4A28"/>
          <w:sz w:val="20"/>
        </w:rPr>
        <w:t>The bear case centers on commodity price dependency, energy transition execution risk, and ESG positioning challenges. Equinor's exceptional Q2 2026 results reflect commodity price recovery, not structural transformation — a sustained oil price decline to $50/barrel would compress earnings by 40-50%, threatening the dividend and transition funding [1]. The profit margin of 7.97% is modest for $114B in revenue, reflecting the high cost structure of integrated operations and growing renewables investment that does not yet generate competitive returns. Dividend volatility is a significant concern: annual dividends swung from $0.56 (2021) to $3.60 (2023) to $1.46 (2025), with 0 consecutive years of growth, making Equinor an unreliable income stock despite its Dividend sleeve classification. The UK ASA greenwashing ruling and the Mongstad refinery environmental penalty dispute highlight the credibility gap between Equinor's clean energy narrative and its &gt;90% fossil fuel revenue reality [3]. The Inspire Impact Score of 0 (MIXED) with no positive or negative attributions reflects this ambiguity for faith-based investors. Offshore wind projects face cost overruns, permitting delays, and uncertain long-term economics, while Norwegian tax regime changes could reduce shareholder economics.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Higher commodity prices driving exceptional cash generation — Q2 2026 net income of $4.84B (+267% YoY) with production of 2.165M boe/d enables accelerated shareholder returns and continued energy transition investment through $40B+ projected free cash flow for 2026-2030 [1]</w:t>
      </w:r>
    </w:p>
    <w:p>
      <w:pPr>
        <w:spacing w:before="40" w:after="40"/>
        <w:ind w:left="283"/>
      </w:pPr>
      <w:r>
        <w:rPr>
          <w:rFonts w:ascii="Calibri" w:hAnsi="Calibri"/>
          <w:b/>
          <w:color w:val="4A6B25"/>
          <w:sz w:val="20"/>
        </w:rPr>
        <w:t xml:space="preserve">2. </w:t>
      </w:r>
      <w:r>
        <w:rPr>
          <w:rFonts w:ascii="Calibri" w:hAnsi="Calibri"/>
          <w:b w:val="0"/>
          <w:color w:val="3A4A28"/>
          <w:sz w:val="20"/>
        </w:rPr>
        <w:t>AI-driven operational efficiency delivering $130M+ in annual savings across predictive maintenance, well planning, and seismic interpretation, with potential to scale further as the Omnia platform expands across 23,545 employees and 700+ rotating machines [2]</w:t>
      </w:r>
    </w:p>
    <w:p>
      <w:pPr>
        <w:spacing w:before="40" w:after="40"/>
        <w:ind w:left="283"/>
      </w:pPr>
      <w:r>
        <w:rPr>
          <w:rFonts w:ascii="Calibri" w:hAnsi="Calibri"/>
          <w:b/>
          <w:color w:val="4A6B25"/>
          <w:sz w:val="20"/>
        </w:rPr>
        <w:t xml:space="preserve">3. </w:t>
      </w:r>
      <w:r>
        <w:rPr>
          <w:rFonts w:ascii="Calibri" w:hAnsi="Calibri"/>
          <w:b w:val="0"/>
          <w:color w:val="3A4A28"/>
          <w:sz w:val="20"/>
        </w:rPr>
        <w:t>Offshore wind portfolio maturation with Hywind Tampen operational and Empire Wind progressing toward first power, combined with Northern Lights CCS coming online — could re-rate Equinor from oil company to integrated energy company valuation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dependency means a sustained oil price decline to $50-60/barrel would compress earnings by 40-50% and threaten dividend sustainability — annual dividends have already declined from $3.60 (2023) to $1.46 (2025), demonstrating extreme income volatility [1][4]</w:t>
      </w:r>
    </w:p>
    <w:p>
      <w:pPr>
        <w:spacing w:before="40" w:after="40"/>
        <w:ind w:left="283"/>
      </w:pPr>
      <w:r>
        <w:rPr>
          <w:rFonts w:ascii="Calibri" w:hAnsi="Calibri"/>
          <w:b/>
          <w:color w:val="4A6B25"/>
          <w:sz w:val="20"/>
        </w:rPr>
        <w:t xml:space="preserve">2. </w:t>
      </w:r>
      <w:r>
        <w:rPr>
          <w:rFonts w:ascii="Calibri" w:hAnsi="Calibri"/>
          <w:b w:val="0"/>
          <w:color w:val="3A4A28"/>
          <w:sz w:val="20"/>
        </w:rPr>
        <w:t>Energy transition execution risk as offshore wind projects face cost overruns and uncertain returns — Empire Wind has experienced revisions, CCS remains commercially unproven at scale, and renewables investment must compete with oil returns for capital allocation [3]</w:t>
      </w:r>
    </w:p>
    <w:p>
      <w:pPr>
        <w:spacing w:before="40" w:after="40"/>
        <w:ind w:left="283"/>
      </w:pPr>
      <w:r>
        <w:rPr>
          <w:rFonts w:ascii="Calibri" w:hAnsi="Calibri"/>
          <w:b/>
          <w:color w:val="4A6B25"/>
          <w:sz w:val="20"/>
        </w:rPr>
        <w:t xml:space="preserve">3. </w:t>
      </w:r>
      <w:r>
        <w:rPr>
          <w:rFonts w:ascii="Calibri" w:hAnsi="Calibri"/>
          <w:b w:val="0"/>
          <w:color w:val="3A4A28"/>
          <w:sz w:val="20"/>
        </w:rPr>
        <w:t>ESG credibility gap highlighted by UK greenwashing ruling and Mongstad environmental penalty dispute undermines the clean energy narrative, while the Inspire Impact Score of 0 limits faith-based investor appeal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Equinor's core business — exploring for, producing, and refining hydrocarbons from deepwater and Arctic environments — involves physical-world operations that AI structurally cannot displace [1]. Offshore oil platforms, subsea infrastructure, refining assets, and LNG facilities require massive capital investment ($13B+ annual capex) and physical operations that no AI system can substitute. The regulatory environment (Norwegian petroleum law, safety requirements, environmental permitting) creates additional structural protection. AI is actually increasing demand for energy as AI data center power consumption grows — Equinor's gas and renewable power assets directly benefit from this trend. The Mongstad refinery, Johan Sverdrup field, and offshore wind installations are physical assets that AI cannot replicate. AI Opportunity (0/1): Equinor deploys AI extensively for internal operations ($130M in documented savings in 2025) through Omnia.Prevent predictive maintenance and AI-assisted well planning [2], but does not generate external AI revenue. The company is an AI consumer using it for operational efficiency, not an AI vendor selling products to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Equinor Q2 2026 Earnings Release — Revenue $35.18B (+40% YoY), Net Income $4.84B (+267%), Production 2.165M boe/d (+3%), Organic Capex ~$13B Guide — Offshore Technology, July 2026</w:t>
      </w:r>
    </w:p>
    <w:p>
      <w:pPr>
        <w:spacing w:before="20" w:after="20"/>
        <w:ind w:left="170"/>
      </w:pPr>
      <w:r>
        <w:rPr>
          <w:rFonts w:ascii="Calibri" w:hAnsi="Calibri"/>
          <w:b/>
          <w:color w:val="4A6B25"/>
          <w:sz w:val="15"/>
        </w:rPr>
        <w:t xml:space="preserve">2. </w:t>
      </w:r>
      <w:r>
        <w:rPr>
          <w:rFonts w:ascii="Calibri" w:hAnsi="Calibri"/>
          <w:b w:val="0"/>
          <w:color w:val="3A4A28"/>
          <w:sz w:val="17"/>
        </w:rPr>
        <w:t>Equinor AI Strategy — $130M in AI-Driven Savings in 2025, Omnia.Prevent Predictive Maintenance 700+ Machines, Johan Sverdrup Phase 3 AI Optimization, EVP Hege Skryseth — Equinor.com Press Release, January 2026</w:t>
      </w:r>
    </w:p>
    <w:p>
      <w:pPr>
        <w:spacing w:before="20" w:after="20"/>
        <w:ind w:left="170"/>
      </w:pPr>
      <w:r>
        <w:rPr>
          <w:rFonts w:ascii="Calibri" w:hAnsi="Calibri"/>
          <w:b/>
          <w:color w:val="4A6B25"/>
          <w:sz w:val="15"/>
        </w:rPr>
        <w:t xml:space="preserve">3. </w:t>
      </w:r>
      <w:r>
        <w:rPr>
          <w:rFonts w:ascii="Calibri" w:hAnsi="Calibri"/>
          <w:b w:val="0"/>
          <w:color w:val="3A4A28"/>
          <w:sz w:val="17"/>
        </w:rPr>
        <w:t>Equinor ESG Issues — Mongstad Refinery Environmental Penalty (Økokrim), UK ASA Greenwashing Ruling, Shareholder Net Zero Proposals, 67% Norwegian Government Ownership — SimplyWallSt, SEC Filings, Energy Voice</w:t>
      </w:r>
    </w:p>
    <w:p>
      <w:pPr>
        <w:spacing w:before="20" w:after="20"/>
        <w:ind w:left="170"/>
      </w:pPr>
      <w:r>
        <w:rPr>
          <w:rFonts w:ascii="Calibri" w:hAnsi="Calibri"/>
          <w:b/>
          <w:color w:val="4A6B25"/>
          <w:sz w:val="15"/>
        </w:rPr>
        <w:t xml:space="preserve">4. </w:t>
      </w:r>
      <w:r>
        <w:rPr>
          <w:rFonts w:ascii="Calibri" w:hAnsi="Calibri"/>
          <w:b w:val="0"/>
          <w:color w:val="3A4A28"/>
          <w:sz w:val="17"/>
        </w:rPr>
        <w:t>Yahoo Finance — EQNR Key Statistics, Price $45.29, Forward PE 9.40, D/E 75.2%, ROE 21.3%, Dividend Yield 3.47%, Payout 41.0%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