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EQR</w:t>
      </w:r>
      <w:r>
        <w:rPr>
          <w:rFonts w:ascii="Calibri" w:hAnsi="Calibri"/>
          <w:b/>
          <w:color w:val="1A2010"/>
          <w:sz w:val="40"/>
        </w:rPr>
        <w:t xml:space="preserve">  Equity Residential</w:t>
      </w:r>
    </w:p>
    <w:p>
      <w:pPr>
        <w:spacing w:after="120"/>
      </w:pPr>
      <w:r>
        <w:rPr>
          <w:rFonts w:ascii="Calibri" w:hAnsi="Calibri"/>
          <w:b/>
          <w:color w:val="6E8450"/>
          <w:sz w:val="18"/>
        </w:rPr>
        <w:t>DIVIDEND SLEEVE · 2026-09-07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Residential REITs · NYSE · United States</w:t>
      </w:r>
    </w:p>
    <w:p>
      <w:pPr>
        <w:spacing w:after="80"/>
      </w:pPr>
      <w:r>
        <w:rPr>
          <w:rFonts w:ascii="Calibri" w:hAnsi="Calibri"/>
          <w:b w:val="0"/>
          <w:color w:val="3A4A28"/>
          <w:sz w:val="20"/>
        </w:rPr>
        <w:t>Equity Residential is one of the largest publicly traded apartment REITs in the United States, owning approximately 85,000 apartment units concentrated in high-barrier coastal markets including Boston, New York, Washington D.C., Seattle, San Francisco, and Southern California. On May 20, 2026, EQR announced a $26.6B merger of equals with AvalonBay Communities to create Vivmark Residential (trading as VMRK since August 18, 2026), the nation's largest apartment REIT. CEO Mark Parrell has driven aggressive AI adoption, trimming headcount 20% between 2020-2025 through centralization and AI leasing deployment. Q2 2026 Normalized FFO per share grew 3.0% YoY with same-store revenue up 2.1% and physical occupancy at 96.5%.</w:t>
      </w:r>
    </w:p>
    <w:p>
      <w:r>
        <w:rPr>
          <w:rFonts w:ascii="Calibri" w:hAnsi="Calibri"/>
          <w:b/>
          <w:color w:val="6E8450"/>
          <w:sz w:val="18"/>
        </w:rPr>
        <w:t>2,400 Employees · https://www.equityapartments.com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Equity Residential executed two transformative strategic moves — the $26.6B merger of equals with AvalonBay Communities (announced May 2026, creating Vivmark Residential) represents the largest apartment REIT consolidation in history, and the AI-driven operational transformation that reduced headcount by 20% between 2020-2025 through centralization and AI leasing tools fundamentally reshaped the company's cost structure [1][2]. These are not incremental — the AvalonBay merger redefines EQR's competitive position and the AI deployment is among the most aggressive in the REIT sector. AI Deployment (2/2): EQR's AI leasing platform and centralized operations drove a 20% headcount reduction with measurable cost savings, while CEO Parrell publicly stated AI is driving apartment demand in San Francisco through robust office leasing activity [2]. The company reports specific operational metrics tied to AI adoption (record-low turnover at 96.5% occupancy). Market Share (2/2): With the AvalonBay merger, Vivmark Residential becomes the largest apartment REIT in the United States by unit count and market capitalization, with combined assets exceeding $50B and 140,000+ apartment units across premier coastal markets [1]. Even pre-merger, EQR was a top-3 apartment REIT by market cap. Product Pipeline (1/2): The AvalonBay merger includes $175M in gross synergies expected within 18 months, providing specific, quantified near-term value creation [1]. However, the development pipeline beyond the merger integration is standard REIT activity (ground-up development, renovations) without transformative next-generation products. R&amp;D Intensity (1/1): EQR's technology investment — AI leasing tools, centralized operations platform, smart home features — exceeds the residential REIT industry average, as evidenced by the 20% headcount reduction that peers have not matched.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Equity Residential's purpose centers on providing high-quality apartment living in premier urban markets — a clear mission that serves a fundamental human need (housing) and differentiates through market focus (coastal, high-barrier) [3]. The 2025 Corporate Responsibility Report and ESG program with Science Based Targets for greenhouse gas emissions demonstrate institutional commitment beyond pure financial optimization. However, the mission does not articulate a transformative vision of a better future and is functionally interchangeable with other large apartment REITs. Community Impact (1/2): EQR publishes annual ESG reports with specific environmental targets (Science Based Targets framework for GHG emissions), energy and water management programs across 85,000+ units, and actively manages climate-related risks [3]. These are substantive programs but represent industry-standard corporate responsibility rather than distinctive community investment with transformative impact. Employee Retention (0/2): Employee engagement score reached the highest level in company history, which is positive, but the Comparably executive team rating places EQR in the Bottom 15% of similar-size companies, and Glassdoor reviews note inconsistent communication, selective accountability, and favoritism [2]. The 20% headcount reduction, while operationally sound, creates a mixed signal for organizational trust. Insider Buying (0/2): No evidence of meaningful net insider buying by CEO Mark Parrell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EQR demonstrates strong Infrastructure driven by REIT-sector fundamentals — profit margin of 36.20% exceeds the 20% target comfortably, reflecting the high-margin nature of apartment rental income [4]. Forward P/E of approximately 21x is near the 20x target (scores 0.975), and the 5-year dividend growth CAGR of approximately 6.8% exceeds the 6% target (scores 1.0 at 2x weight). Consecutive years of dividend payments (33 years since 1993 IPO) scores perfectly at 2x weight [4]. The primary drags are ROE of 10.02% (below the 15% target, typical for real estate with large depreciating asset bases), moderate revenue growth (same-store revenue up 2.1% in Q2 2026, well below the 10% target), and a payout ratio of approximately 71% (FFO-based, above the 40% target) [1]. D/E of approximately 95% reflects standard REIT leverage ($8.48B in debt) but scores above the floor. The stock clears the liquidity floor with approximately $161M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Equity Residential plays a predominantly finite game — the company's strategic decisions are driven by portfolio optimization, FFO growth, and shareholder returns rather than a vision of a better future. The AvalonBay merger, while transformative, is framed in financial terms ($175M synergies, earnings accretion) rather than purpose terms. CEO Mark Parrell's aggressive AI adoption that cut 20% of the workforce demonstrates efficient management but not infinite-game thinking — it's optimization for today's metrics rather than investment in long-term capability. The 33-year dividend track record shows durability, but EQR has not articulated a Just Cause that transcends shareholder returns or demonstrated the kind of organizational trust that Sinek considers the foundation of infinite game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Equity Residential provides housing — a fundamental human need — but does not articulate this as a Just Cause [3]. The company's stated objectives center on FFO growth, portfolio optimization, and total shareholder return rather than a vision of a better future for urban living. The AvalonBay merger creating 'Vivmark Residential' is driven by synergy capture and market positioning, not by a purpose that inspires sacrifice. The ESG program and Science Based Targets demonstrate responsibility but are standard corporate practice, not evidence of a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Mark Parrell has led since 2019 with leadership continuity, and the company reports its highest-ever employee engagement score [2]. However, the 20% headcount reduction through AI leasing tools — while operationally sound — undermines organizational trust by demonstrating that technology displacement is a priority over workforce stability. Glassdoor reviews cite inconsistent communication, selective accountability, and favoritism, and Comparably ranks the executive team in the Bottom 15% of similarly sized companies [2]. The conflicting signals between engagement surveys and external review platforms suggest managed engagement metrics rather than genuine deep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AvalonBay merger represents the opposite of Sinek's worthy rival concept — rather than acknowledging AvalonBay's strengths and using competitive pressure to improve, EQR chose to eliminate its primary rival through consolidation [1]. This is quintessentially finite-game behavior: removing competition rather than learning from it. The combined entity's market dominance orientation (largest apartment REIT) reflects a play-to-win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AvalonBay merger creating Vivmark Residential represents a significant strategic shift — combining with the company's primary competitor to create a new entity with a different scale, brand, and operational model [1]. The AI-driven operational transformation (20% headcount reduction, centralized leasing) also represents meaningful adaptation. However, the core business remains apartment ownership and management in the same markets — this is consolidation and operational improvement, not a fundamental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$26.6B AvalonBay merger is a bold strategic decision with significant execution risk — antitrust scrutiny, integration challenges, cultural alignment between two large organizations, and market uncertainty [1]. The early, aggressive AI adoption that eliminated 20% of headcount required accepting organizational disruption for long-term efficiency gains. However, both decisions are motivated by financial optimization (synergies, cost reduction) rather than sacrifice for a Just Cause, and EQR has not demonstrated a pattern of investing during downturns or walking away from profitable but misaligned activities.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Equity Residential at approximately 21x trailing earnings offers a defensive yield play with transformative upside from the AvalonBay merger — the $26.6B combination creates Vivmark Residential, the nation's largest apartment REIT with 140,000+ units and $175M in gross synergies expected within 18 months [1]. Q2 2026 Normalized FFO per share grew 3.0% YoY with same-store revenue up 2.1% at 96.5% physical occupancy, demonstrating pricing power in high-barrier coastal markets [1]. The 4.38% dividend yield on a 33-year payment track record with 6.8% 5-year dividend growth CAGR provides reliable income with above-inflation growth. EQR's aggressive AI adoption (20% headcount reduction, AI leasing tools) gives it a structural cost advantage over peers, and CEO Parrell's observation that AI is driving apartment demand in tech markets like San Francisco positions the combined entity to benefit from the AI-driven urban migration trend [2]. The Inspire Impact Score of 51 (ALIGNED) with 13 positive attributions and no negative flags makes this a rare faith-compatible income holding.</w:t>
      </w:r>
    </w:p>
    <w:p>
      <w:pPr>
        <w:spacing w:after="120"/>
      </w:pPr>
      <w:r>
        <w:rPr>
          <w:rFonts w:ascii="Calibri" w:hAnsi="Calibri"/>
          <w:b w:val="0"/>
          <w:color w:val="3A4A28"/>
          <w:sz w:val="20"/>
        </w:rPr>
        <w:t>The bear case centers on merger execution risk, REIT sector headwinds, and the finite-game profile. The AvalonBay integration involves combining two ~85,000-unit portfolios with different cultures, systems, and regional strategies — the $175M synergy target may prove optimistic, and integration distractions could impair operating performance during a critical period for the apartment market [1]. Revenue growth remains pedestrian at 2.1% same-store, constrained by elevated new apartment supply in many of EQR's core markets (Sunbelt and select coastal) that limits pricing power. The 20% headcount reduction, while boosting margins, creates organizational fragility — fewer employees managing more units increases execution risk during maintenance emergencies or market dislocations. D/E of approximately 95% ($8.48B in debt) represents meaningful interest rate sensitivity in a higher-for-longer rate environment, and the 71% FFO payout ratio leaves limited retained earnings for organic growth [4]. The Infinite Game score of 4/10 (FINITE) reflects that EQR's strategic decisions — the merger, the AI headcount cuts, the portfolio optimization — are all framed in financial terms without a deeper purpose. ROE of 10.02% below the 15% target is structural for REITs but limits Infrastructure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AvalonBay merger creating Vivmark Residential with $175M in gross synergies within 18 months — the largest apartment REIT combination in history, providing scale advantages in procurement, technology, and capital markets access that smaller competitors cannot match [1]</w:t>
      </w:r>
    </w:p>
    <w:p>
      <w:pPr>
        <w:spacing w:before="40" w:after="40"/>
        <w:ind w:left="283"/>
      </w:pPr>
      <w:r>
        <w:rPr>
          <w:rFonts w:ascii="Calibri" w:hAnsi="Calibri"/>
          <w:b/>
          <w:color w:val="4A6B25"/>
          <w:sz w:val="20"/>
        </w:rPr>
        <w:t xml:space="preserve">2. </w:t>
      </w:r>
      <w:r>
        <w:rPr>
          <w:rFonts w:ascii="Calibri" w:hAnsi="Calibri"/>
          <w:b w:val="0"/>
          <w:color w:val="3A4A28"/>
          <w:sz w:val="20"/>
        </w:rPr>
        <w:t>AI-driven apartment demand in tech markets — CEO Parrell citing robust AI-related office leasing in San Francisco driving apartment demand, positioning the combined 140,000+ unit portfolio to capture urban migration from AI workforce expansion [2]</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with 6.8% 5-year CAGR and 33-year payment history, supported by merger synergies that could accelerate FFO growth from 3% to 5%+ per share, potentially unlocking dividend acceleration and multiple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AvalonBay merger integration risk — combining two 85,000+ unit REIT platforms with different cultures, systems, and regional strategies could impair operating performance, and the $175M synergy target assumes smooth execution that complex real estate integrations rarely achieve [1]</w:t>
      </w:r>
    </w:p>
    <w:p>
      <w:pPr>
        <w:spacing w:before="40" w:after="40"/>
        <w:ind w:left="283"/>
      </w:pPr>
      <w:r>
        <w:rPr>
          <w:rFonts w:ascii="Calibri" w:hAnsi="Calibri"/>
          <w:b/>
          <w:color w:val="4A6B25"/>
          <w:sz w:val="20"/>
        </w:rPr>
        <w:t xml:space="preserve">2. </w:t>
      </w:r>
      <w:r>
        <w:rPr>
          <w:rFonts w:ascii="Calibri" w:hAnsi="Calibri"/>
          <w:b w:val="0"/>
          <w:color w:val="3A4A28"/>
          <w:sz w:val="20"/>
        </w:rPr>
        <w:t>Elevated apartment supply in core markets (Sunbelt, select coastal cities) limiting same-store revenue growth to 2.1%, with 2026-2027 delivery pipelines in several MSAs exceeding absorption rates, potentially forcing concessions that compress NOI [1]</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with $8.48B in debt — a sustained higher-rate environment increases refinancing costs and compresses the spread between cap rates and borrowing costs, potentially pressuring asset values and FFO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Equity Residential's core business — owning and operating physical apartment buildings in high-barrier coastal markets — is structurally immune to AI disruption [1]. AI cannot replace the need for housing, cannot replicate physical real estate in premier locations, and cannot bypass the regulatory barriers (zoning, building permits, environmental reviews) that protect EQR's competitive position. The apartment REIT business involves physical-world operations (building maintenance, tenant services, property management) with deep regulatory and infrastructure moats. AI-driven property management automation (virtual tours, chatbot leasing, predictive maintenance) enhances rather than threatens the business — EQR has already demonstrated this by using AI to reduce headcount 20% while maintaining 96.5% occupancy [2]. No analyst has flagged AI as a disruption risk to apartment REITs; instead, CEO Parrell cited AI as driving demand for apartments in tech-heavy markets like San Francisco. AI Opportunity (1/1): EQR generates quantifiable value from AI — the 20% headcount reduction through AI leasing tools and centralized operations represents measurable cost savings that directly improve NOI margins, and AI-driven demand in tech markets benefits occupancy and rental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Equity Residential Q1 and Q2 2026 Earnings, AvalonBay Merger Announcement — FFO $0.99/share (Q1), $0.99 (Q2 est), Same-Store Revenue +2.1%, AvalonBay $26.6B Merger Creating Vivmark Residential, $175M Synergies, May-August 2026</w:t>
      </w:r>
    </w:p>
    <w:p>
      <w:pPr>
        <w:spacing w:before="20" w:after="20"/>
        <w:ind w:left="170"/>
      </w:pPr>
      <w:r>
        <w:rPr>
          <w:rFonts w:ascii="Calibri" w:hAnsi="Calibri"/>
          <w:b/>
          <w:color w:val="4A6B25"/>
          <w:sz w:val="15"/>
        </w:rPr>
        <w:t xml:space="preserve">2. </w:t>
      </w:r>
      <w:r>
        <w:rPr>
          <w:rFonts w:ascii="Calibri" w:hAnsi="Calibri"/>
          <w:b w:val="0"/>
          <w:color w:val="3A4A28"/>
          <w:sz w:val="17"/>
        </w:rPr>
        <w:t>Equity Residential AI Strategy, Leadership, Culture — 20% Headcount Reduction via AI Leasing, CEO Parrell on AI-Driven Demand, Glassdoor/Comparably Reviews, Bisnow, Multifamily Dive, 2025-2026</w:t>
      </w:r>
    </w:p>
    <w:p>
      <w:pPr>
        <w:spacing w:before="20" w:after="20"/>
        <w:ind w:left="170"/>
      </w:pPr>
      <w:r>
        <w:rPr>
          <w:rFonts w:ascii="Calibri" w:hAnsi="Calibri"/>
          <w:b/>
          <w:color w:val="4A6B25"/>
          <w:sz w:val="15"/>
        </w:rPr>
        <w:t xml:space="preserve">3. </w:t>
      </w:r>
      <w:r>
        <w:rPr>
          <w:rFonts w:ascii="Calibri" w:hAnsi="Calibri"/>
          <w:b w:val="0"/>
          <w:color w:val="3A4A28"/>
          <w:sz w:val="17"/>
        </w:rPr>
        <w:t>Equity Residential Corporate Responsibility Report 2025, ESG Program — Science Based Targets, Environmental Management, BusinessWire, October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EQR Key Statistics: P/E 21.34x, ROE 10.02%, Profit Margin 36.20%, Dividend Yield 4.38%, D/E ~95%, Stock Price $64.42,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