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ERIC</w:t>
      </w:r>
      <w:r>
        <w:rPr>
          <w:rFonts w:ascii="Calibri" w:hAnsi="Calibri"/>
          <w:b/>
          <w:color w:val="1A2010"/>
          <w:sz w:val="40"/>
        </w:rPr>
        <w:t xml:space="preserve">  Telefonaktiebolaget LM Ericsson</w:t>
      </w:r>
    </w:p>
    <w:p>
      <w:pPr>
        <w:spacing w:after="120"/>
      </w:pPr>
      <w:r>
        <w:rPr>
          <w:rFonts w:ascii="Calibri" w:hAnsi="Calibri"/>
          <w:b/>
          <w:color w:val="6E8450"/>
          <w:sz w:val="18"/>
        </w:rPr>
        <w:t>DIVIDEND SLEEVE · 2026-10-09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Communication Equipment · NMS · Sweden</w:t>
      </w:r>
    </w:p>
    <w:p>
      <w:pPr>
        <w:spacing w:after="80"/>
      </w:pPr>
      <w:r>
        <w:rPr>
          <w:rFonts w:ascii="Calibri" w:hAnsi="Calibri"/>
          <w:b w:val="0"/>
          <w:color w:val="3A4A28"/>
          <w:sz w:val="20"/>
        </w:rPr>
        <w:t>Telefonaktiebolaget LM Ericsson is a Swedish multinational providing mobile connectivity solutions to communications service providers, enterprises, and the public sector globally. Operating through Networks, Cloud Software and Services, Enterprise, and Other segments, Ericsson is one of three major global 5G infrastructure vendors alongside Nokia and Huawei. Founded in 1876 and headquartered in Stockholm, Sweden, Ericsson generated approximately 237B SEK (~$23B USD) in FY2025 revenue with a 10.8% profit margin across 86,536 employees.</w:t>
      </w:r>
    </w:p>
    <w:p>
      <w:r>
        <w:rPr>
          <w:rFonts w:ascii="Calibri" w:hAnsi="Calibri"/>
          <w:b/>
          <w:color w:val="6E8450"/>
          <w:sz w:val="18"/>
        </w:rPr>
        <w:t>86,536 Employees · https://www.ericsson.com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Ericsson's 5G infrastructure rollout represents incremental evolution of its core RAN business rather than a transformative pivot — the company has been building mobile networks for decades, and 5G is the natural successor to 4G [1]. The divestment of iconectiv in 2025 streamlined the portfolio but did not redefine the company. No breakthrough product launch or business model transformation has occurred in the last five years. AI Deployment (1/2): Ericsson launched Cognitive Labs, an AI-driven research initiative focused on network optimization, predictive maintenance, and real-time decision-making in telecom networks [2]. The strategic collaboration with T-Mobile US on an AI-native Scheduler with Link Adaptation software demonstrates AI deployment in shipping products, though no specific revenue or cost savings figures were disclosed. Market Share (1/2): Ericsson is one of three global RAN vendors and maintains meaningful 5G infrastructure market share, but faces intense competition from Huawei (excluded from some Western markets but dominant elsewhere) and Nokia, with North American business slowing significantly in Q1-Q2 2026 [1]. Product Pipeline (0/2): Enterprise segment revenue fell 19% YoY in Q2 2026, and CEO Ekholm called results 'clearly unacceptable' [1]. Private 5G networks and IoT solutions are positioned as future growth drivers, but management concedes the pace of adoption remains difficult to predict and does not provide specific timelines or revenue visibility. R&amp;D Intensity (1/1): Ericsson consistently invests approximately 20% of revenue in R&amp;D, among the highest ratios in the telecom equipment sector, sustaining its technology leadership across 5G radio, core network, and AI-native software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Ericsson's purpose centers on enabling connectivity — connecting people and enterprises through mobile technology — a mission validated by 150 years of continuous reinvention from telegraph to telephone to mobile to 5G [2]. The purpose is clear and differentiating from consumer tech peers, but it describes what Ericsson does rather than articulating a transformative future state. The 150-year track record earns a higher floor than generic boilerplate but falls short of the transformative validation required for a 3. Community Impact (0/2): No specific charitable programs, community investment amounts, or philanthropic initiatives were found in search results beyond standard corporate ESG reporting. Employee Retention (0/2): No publicly available data on voluntary turnover rates, average employee tenure, or mission-driven retention. The company employs 86,536 people globally, but significant restructuring charges in recent quarters suggest workforce instability rather than exceptional retention. Insider Buying (0/2): No evidence of meaningful net insider buying by outgoing CEO Borje Ekholm or incoming CEO Per Narvinger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available metrics. Ericsson's balance sheet anchors the Infrastructure score with D/E of just 37.7% (score 1.0) and ROE of 26.1% (score 1.0), reflecting capital-light asset management despite the hardware-heavy business [1]. Forward P/E of 15.5 is well below the 20 target (score 1.0), pricing in pessimistic growth expectations. Revenue growth is the primary weakness: YoY decline of -6.1% (score 0.46) reflects a significant North American slowdown and $849M in adverse FX impact from SEK strength, while the 5-year revenue CAGR of approximately 0.5% in local currency (score 0.37) shows a business that has barely grown over the period [1]. Profit margin of 10.8% (score 0.54) is below the 20% target, constrained by rising semiconductor input costs from the AI boom and restructuring charges. Dividend metrics are supportive: payout ratio of 41.4% is near the 40% target (score 0.98), consecutive years paid of 10 earns full marks (score 1.0, 2x weight), and the 5-year dividend growth CAGR of approximately 10% from the depressed 2020 base exceeds the 6% target (score 1.0, 2x weight). Daily dollar volume of $102M provides strong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Ericsson's 150-year history of continuous reinvention — from telegraph equipment maker to the backbone of global mobile connectivity — represents remarkable existential flexibility that Sinek would admire. However, the company's infinite game credentials are significantly undermined by the bribery scandal (17 years of FCPA violations across six countries, $1B+ in penalties, and subsequent Iraq revelations), which reveals a deeply finite mindset in how the company actually operated for decades beneath its stated values. The orderly CEO succession from Ekholm to Narvinger suggests institutional stability, but the enterprise segment's struggles and declining revenue raise questions about strategic clarity.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Ericsson's purpose of enabling global connectivity has been genuinely validated by 150 years of execution across telegraph, telephone, mobile, and 5G technology generations — the company has repeatedly proven that connecting people is its enduring cause rather than mere marketing [2]. Strategic decisions trace back to this purpose: sustained 20% R&amp;D investment through revenue downturns demonstrates commitment to technology leadership. However, the bribery scandal (2000-2016 FCPA violations spanning six countries) reveals that the cause was subordinated to winning contracts through corruption for nearly two decades, preventing the highest score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orderly internal CEO succession from Ekholm to Narvinger (Head of Networks, a 20+ year Ericsson veteran) signals leadership continuity and organizational stability [2]. The 150-year corporate history has survived multiple leadership transitions. However, significant restructuring charges in 2025-2026 indicate ongoing workforce reductions that undermine psychological safety, and the corruption scandal's breadth — involving employees across six countries over 17 years — suggests a historical culture where ethical concerns were not safely raised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Ericsson's competitive narrative focuses on maintaining market position against Nokia and navigating Huawei's geopolitical exclusion from Western markets, framed as market share competition rather than mutual improvement [1]. No evidence of management commentary acknowledging specific competitors' strengths as motivation for self-improvement. The T-Mobile partnership language centers on 'leading' rather than 'learning.'</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Ericsson has fundamentally reinvented itself at least three times in 150 years — from telegraph equipment manufacturer to telephone switching provider, then to mobile network infrastructure pioneer, and now to 5G/cloud-native telecommunications platform [2]. Each transition abandoned the previous core business as technology evolved. The pivot from Ericsson Mobile Phones (sold to Sony in 2001) to focus entirely on network infrastructure was a transformative strategic decision that sacrificed consumer-brand revenue for infrastructure leadership. This pattern of serial reinvention in service of the connectivity cause is exactly what Sinek's existential flexibility framework measures.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Ekholm demonstrated courage by steering Ericsson through the corruption crisis, accepting $1B+ in penalties, and implementing governance reforms rather than deflecting responsibility [3]. Maintaining 20% R&amp;D spending during revenue declines shows willingness to invest in future capability over near-term earnings. However, the enterprise segment's poor results (down 19-30% YoY) went unaddressed for multiple quarters before Ekholm called them 'clearly unacceptable,' suggesting delayed rather than proactive leadership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Ericsson at $9.50 offers a value entry into one of only three global 5G infrastructure providers at 15.5x forward earnings and 3.4% dividend yield, with a clean balance sheet (37.7% D/E) and 26% ROE demonstrating capital efficiency despite revenue headwinds [1]. The Q1 2026 results showed 6% organic growth beneath the FX-distorted headline, with contributions from all segments driven by continued 5G rollouts and 5G Core uptake. The CEO transition to Per Narvinger (20+ year Ericsson veteran, Head of Networks) signals continuity, and the Cognitive Labs AI initiative and T-Mobile AI-native Scheduler partnership position Ericsson at the intersection of AI and connectivity infrastructure [2]. As AI data centers proliferate, demand for high-performance mobile connectivity and private 5G networks should create a secular tailwind for the company's core capabilities.</w:t>
      </w:r>
    </w:p>
    <w:p>
      <w:pPr>
        <w:spacing w:after="120"/>
      </w:pPr>
      <w:r>
        <w:rPr>
          <w:rFonts w:ascii="Calibri" w:hAnsi="Calibri"/>
          <w:b w:val="0"/>
          <w:color w:val="3A4A28"/>
          <w:sz w:val="20"/>
        </w:rPr>
        <w:t>The bear case is dominated by secular revenue decline and margin compression. Revenue in local currency has been essentially flat over five years (~0.5% CAGR), and headline USD revenue declined 6.1% YoY as SEK strength amplified underlying weakness [1]. The AI boom is a double-edged sword — while it may eventually drive network demand, the immediate impact is rising semiconductor and memory chip costs that squeeze hardware margins, with management acknowledging Ericsson is 'not a near-term AI beneficiary' [2]. The bribery scandal legacy remains a governance overhang — $1B+ in FCPA penalties, Iraq corruption revelations involving alleged payments near ISIS-controlled territories, DOJ breach determination, and ongoing Swedish and Chinese investigations create unquantifiable legal tail risk [3]. The Enterprise segment's 19-30% revenue decline and widening losses suggest the private 5G growth thesis is failing to materialize on management's timeline. At a market cap of $31B, Ericsson is priced for modest recovery, but continued revenue erosion and margin pressure from AI-driven input costs could push the stock lower.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5G rollout acceleration and 5G Core adoption driving 6% organic growth beneath FX headwinds in Q1 2026, with double-digit organic expansion in three market areas suggesting the investment cycle is recovering [1]</w:t>
      </w:r>
    </w:p>
    <w:p>
      <w:pPr>
        <w:spacing w:before="40" w:after="40"/>
        <w:ind w:left="283"/>
      </w:pPr>
      <w:r>
        <w:rPr>
          <w:rFonts w:ascii="Calibri" w:hAnsi="Calibri"/>
          <w:b/>
          <w:color w:val="4A6B25"/>
          <w:sz w:val="20"/>
        </w:rPr>
        <w:t xml:space="preserve">2. </w:t>
      </w:r>
      <w:r>
        <w:rPr>
          <w:rFonts w:ascii="Calibri" w:hAnsi="Calibri"/>
          <w:b w:val="0"/>
          <w:color w:val="3A4A28"/>
          <w:sz w:val="20"/>
        </w:rPr>
        <w:t>AI-driven demand for high-performance connectivity infrastructure — Cognitive Labs research, T-Mobile AI-native Scheduler collaboration, and growing enterprise interest in private 5G for AI data centers position Ericsson as an indirect AI beneficiary [2]</w:t>
      </w:r>
    </w:p>
    <w:p>
      <w:pPr>
        <w:spacing w:before="40" w:after="40"/>
        <w:ind w:left="283"/>
      </w:pPr>
      <w:r>
        <w:rPr>
          <w:rFonts w:ascii="Calibri" w:hAnsi="Calibri"/>
          <w:b/>
          <w:color w:val="4A6B25"/>
          <w:sz w:val="20"/>
        </w:rPr>
        <w:t xml:space="preserve">3. </w:t>
      </w:r>
      <w:r>
        <w:rPr>
          <w:rFonts w:ascii="Calibri" w:hAnsi="Calibri"/>
          <w:b w:val="0"/>
          <w:color w:val="3A4A28"/>
          <w:sz w:val="20"/>
        </w:rPr>
        <w:t>CEO transition to Per Narvinger (Networks head, 20+ year veteran) provides leadership continuity while potentially bringing renewed focus to the underperforming Enterprise segment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Secular revenue stagnation — 5-year revenue CAGR of 0.5% in local currency and -6.1% YoY headline decline reflect a global telecom capex environment where carrier spending is not keeping pace with technology generations, and North America slowed significantly in 2026 [1]</w:t>
      </w:r>
    </w:p>
    <w:p>
      <w:pPr>
        <w:spacing w:before="40" w:after="40"/>
        <w:ind w:left="283"/>
      </w:pPr>
      <w:r>
        <w:rPr>
          <w:rFonts w:ascii="Calibri" w:hAnsi="Calibri"/>
          <w:b/>
          <w:color w:val="4A6B25"/>
          <w:sz w:val="20"/>
        </w:rPr>
        <w:t xml:space="preserve">2. </w:t>
      </w:r>
      <w:r>
        <w:rPr>
          <w:rFonts w:ascii="Calibri" w:hAnsi="Calibri"/>
          <w:b w:val="0"/>
          <w:color w:val="3A4A28"/>
          <w:sz w:val="20"/>
        </w:rPr>
        <w:t>Unresolved bribery and corruption legal exposure — the DOJ determined Ericsson breached its 2019 DPA over Iraq revelations, Swedish National Anti-Corruption Unit opened an investigation, and potential additional fines of unestimable magnitude create material legal tail risk [3]</w:t>
      </w:r>
    </w:p>
    <w:p>
      <w:pPr>
        <w:spacing w:before="40" w:after="40"/>
        <w:ind w:left="283"/>
      </w:pPr>
      <w:r>
        <w:rPr>
          <w:rFonts w:ascii="Calibri" w:hAnsi="Calibri"/>
          <w:b/>
          <w:color w:val="4A6B25"/>
          <w:sz w:val="20"/>
        </w:rPr>
        <w:t xml:space="preserve">3. </w:t>
      </w:r>
      <w:r>
        <w:rPr>
          <w:rFonts w:ascii="Calibri" w:hAnsi="Calibri"/>
          <w:b w:val="0"/>
          <w:color w:val="3A4A28"/>
          <w:sz w:val="20"/>
        </w:rPr>
        <w:t>AI-driven input cost inflation squeezing margins — management warned that soaring memory chip and custom semiconductor costs from AI demand are pressuring telecom equipment margins, with adjusted EBITA margin declining from 12.6% to 11.3% YoY in Q1 2026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Ericsson's core Networks business — building and deploying physical radio access network equipment, base stations, and antennas — is structurally protected from AI substitution, as no software can replace cell towers and radio hardware [1][2]. However, AI creates material cost pressure: management warned that soaring memory chip costs fueled by AI demand are pressuring margins on telecom infrastructure equipment, with the company responding through product redesigns and price adjustments [2]. The Cloud Software &amp; Services and Enterprise segments face more nuanced AI exposure — managed services could see automation pressure, while private 5G for AI data centers represents an opportunity. Management acknowledged they do not expect to be a near-term beneficiary of the surging AI market. AI Opportunity (0/1): While Ericsson has launched Cognitive Labs and the T-Mobile AI-native Scheduler, no specific AI-related revenue figures were disclosed [2]. The company's AI initiatives are currently R&amp;D investments and product features rather than quantifiable revenue streams.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Ericsson Q1-Q2 2026 Earnings — Q1 Revenue Miss with $849M FX Headwind but 6% Organic Growth, Q2 Enterprise Revenue -19%, Adjusted EBITA Margin 11.3%, North America Slowdown — Kavout, Nasdaq, 2026</w:t>
      </w:r>
    </w:p>
    <w:p>
      <w:pPr>
        <w:spacing w:before="20" w:after="20"/>
        <w:ind w:left="170"/>
      </w:pPr>
      <w:r>
        <w:rPr>
          <w:rFonts w:ascii="Calibri" w:hAnsi="Calibri"/>
          <w:b/>
          <w:color w:val="4A6B25"/>
          <w:sz w:val="15"/>
        </w:rPr>
        <w:t xml:space="preserve">2. </w:t>
      </w:r>
      <w:r>
        <w:rPr>
          <w:rFonts w:ascii="Calibri" w:hAnsi="Calibri"/>
          <w:b w:val="0"/>
          <w:color w:val="3A4A28"/>
          <w:sz w:val="17"/>
        </w:rPr>
        <w:t>Ericsson Leadership and AI Strategy — CEO Transition Ekholm to Narvinger (Oct 2026), Cognitive Labs AI Initiative, T-Mobile AI-Native Scheduler Collaboration, 150-Year Innovation History — Barchart, AIBucket, BTW Media, LinkedIn, 2025-2026</w:t>
      </w:r>
    </w:p>
    <w:p>
      <w:pPr>
        <w:spacing w:before="20" w:after="20"/>
        <w:ind w:left="170"/>
      </w:pPr>
      <w:r>
        <w:rPr>
          <w:rFonts w:ascii="Calibri" w:hAnsi="Calibri"/>
          <w:b/>
          <w:color w:val="4A6B25"/>
          <w:sz w:val="15"/>
        </w:rPr>
        <w:t xml:space="preserve">3. </w:t>
      </w:r>
      <w:r>
        <w:rPr>
          <w:rFonts w:ascii="Calibri" w:hAnsi="Calibri"/>
          <w:b w:val="0"/>
          <w:color w:val="3A4A28"/>
          <w:sz w:val="17"/>
        </w:rPr>
        <w:t>Ericsson Bribery and Corruption Scandal — $1B+ FCPA Settlement (2019), Iraq Corruption Revelations and DOJ Breach Determination, ISIS-Zone Payment Allegations, Swedish Investigation, Shareholder Liability Vote — ICIJ, SDxCentral, CityAM, OCCRP, 2019-2023</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