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371600" cy="7232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7232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40"/>
      </w:pPr>
      <w:r>
        <w:rPr>
          <w:rFonts w:ascii="Calibri" w:hAnsi="Calibri"/>
          <w:b/>
          <w:color w:val="4A6B25"/>
          <w:sz w:val="56"/>
        </w:rPr>
        <w:t>ERNA</w:t>
      </w:r>
      <w:r>
        <w:rPr>
          <w:rFonts w:ascii="Calibri" w:hAnsi="Calibri"/>
          <w:b/>
          <w:color w:val="1A2010"/>
          <w:sz w:val="40"/>
        </w:rPr>
        <w:t xml:space="preserve">  Ernexa Therapeutics Inc.</w:t>
      </w:r>
    </w:p>
    <w:p>
      <w:pPr>
        <w:spacing w:after="120"/>
      </w:pPr>
      <w:r>
        <w:rPr>
          <w:rFonts w:ascii="Calibri" w:hAnsi="Calibri"/>
          <w:b/>
          <w:color w:val="6E8450"/>
          <w:sz w:val="18"/>
        </w:rPr>
        <w:t>GROWTH SLEEVE · 2026-09-17 · Inspire: 26 · FINITE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1200" w:type="dxa"/>
      </w:tblPr>
      <w:tblGrid>
        <w:gridCol w:w="10800"/>
      </w:tblGrid>
      <w:tr>
        <w:tc>
          <w:tcPr>
            <w:tcW w:type="dxa" w:w="10800"/>
            <w:shd w:fill="FFEBEE" w:val="clea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DC2626"/>
                <w:sz w:val="20"/>
              </w:rPr>
              <w:t>SELL</w:t>
            </w:r>
          </w:p>
        </w:tc>
      </w:tr>
    </w:tbl>
    <w:p>
      <w:pPr>
        <w:spacing w:before="120" w:after="200"/>
      </w:pPr>
      <w:r>
        <w:rPr>
          <w:rFonts w:ascii="Calibri" w:hAnsi="Calibri"/>
          <w:b/>
          <w:color w:val="1A2010"/>
          <w:sz w:val="80"/>
        </w:rPr>
        <w:t>33</w:t>
      </w:r>
      <w:r>
        <w:rPr>
          <w:rFonts w:ascii="Calibri" w:hAnsi="Calibri"/>
          <w:b w:val="0"/>
          <w:color w:val="9DAF88"/>
          <w:sz w:val="28"/>
        </w:rPr>
        <w:t xml:space="preserve"> / </w:t>
      </w:r>
      <w:r>
        <w:rPr>
          <w:rFonts w:ascii="Calibri" w:hAnsi="Calibri"/>
          <w:b w:val="0"/>
          <w:color w:val="9DAF88"/>
          <w:sz w:val="24"/>
        </w:rPr>
        <w:t>100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COMPANY PROFILE</w:t>
            </w:r>
          </w:p>
        </w:tc>
      </w:tr>
    </w:tbl>
    <w:p>
      <w:r>
        <w:rPr>
          <w:rFonts w:ascii="Calibri" w:hAnsi="Calibri"/>
          <w:b/>
          <w:color w:val="6E8450"/>
          <w:sz w:val="18"/>
        </w:rPr>
        <w:t>Healthcare · Biotechnology · NASDAQ Capital Market · United States</w:t>
      </w:r>
    </w:p>
    <w:p>
      <w:pPr>
        <w:spacing w:after="80"/>
      </w:pPr>
      <w:r>
        <w:rPr>
          <w:rFonts w:ascii="Calibri" w:hAnsi="Calibri"/>
          <w:b w:val="0"/>
          <w:color w:val="3A4A28"/>
          <w:sz w:val="20"/>
        </w:rPr>
        <w:t>Ernexa Therapeutics (formerly Eterna Therapeutics) is a preclinical-stage biotechnology company developing induced mesenchymal stem cell (iMSC) therapies for cancer and autoimmune disease. Its lead candidate, ERNA-101, is a cytokine-secreting allogeneic cell therapy targeting platinum-resistant ovarian cancer, with an IND submission targeted for Q3 2026 and a first-in-human Phase 1 trial planned for Q4 2026. Founded in 2018 and based in Cambridge, Massachusetts, the company faces going-concern doubts, an accumulated deficit of $245.6M, and Nasdaq delisting risk after two reverse stock splits in the past 15 months.</w:t>
      </w:r>
    </w:p>
    <w:p>
      <w:r>
        <w:rPr>
          <w:rFonts w:ascii="Calibri" w:hAnsi="Calibri"/>
          <w:b/>
          <w:color w:val="6E8450"/>
          <w:sz w:val="18"/>
        </w:rPr>
        <w:t>5 Employees · https://www.ernexatx.com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EXCELLENCE EVALUATION — THINK LIKE AN OWNER (50%)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Innovation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DEVELOPING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4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205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307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Track Record (1/3): The March 2025 rebrand from Eterna Therapeutics (cell-reprogramming focus) to Ernexa Therapeutics (iMSC cancer/autoimmune platform) represents a real strategic pivot, but it remains unproven — the company has no approved products, no revenue, and the shift was driven substantially by financial necessity rather than a validated business-model transformation [3]. AI Deployment (0/2): No evidence of AI-driven drug discovery or AI products was found in current research. Market Share (0/2): As a preclinical-stage company with zero commercial revenue, Ernexa has no market share to speak of. Product Pipeline (2/2): ERNA-101 (platinum-resistant ovarian cancer, IND submission targeted Q3 2026, Phase 1 start Q4 2026) and ERNA-201 (rheumatoid arthritis) are specifically named with concrete near-term timelines, and preclinical data showed complete tumor clearance and 100% long-term survival in ovarian cancer models when combined with PD-1 blockade [1][2]. R&amp;D Intensity (1/1): As a clinical-stage biotech with no commercial operations, essentially all spend is R&amp;D, trivially clearing any industry-average comparison.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Inspiration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DC2626"/>
          <w:sz w:val="16"/>
        </w:rPr>
        <w:t xml:space="preserve"> WEAK 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2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102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4409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Mission Floor (2/4): Ernexa's stated purpose of advancing off-the-shelf iMSC cell therapies to treat cancer and autoimmune disease is clear about what the company does, but is standard biotech-sector language rather than a distinctively articulated cause. Community Impact (0/2): No evidence of charitable giving or community programs was found, consistent with a 5-employee, cash-constrained preclinical company. Employee Retention (0/2): With only 5 full-time employees and going-concern doubts disclosed by auditors, there is no evidence of retention strength, and the environment carries inherent instability risk. Insider Buying (0/2): No evidence of net insider buying by CEO Sanjeev Luther or other executives was found; two reverse stock splits (1-for-15 in mid-2025, 1-for-25 in May 2026) to maintain Nasdaq compliance instead signal shareholder dilution pressure [3].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Infrastructure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DC2626"/>
          <w:sz w:val="16"/>
        </w:rPr>
        <w:t xml:space="preserve"> WEAK 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2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102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4409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Mechanically scored using the Growth-sleeve formula. ROE of -320.7% floors at zero against the 15% target and 0% floor (score 0.0, 2x weight), and profit margin is 0% with no meaningful revenue to compute a comparison (score 0.0). D/E of 10.9% clears the 70% target comfortably (score 1.0) but is a low-relevance metric for a cash-burning preclinical company with minimal debt. Revenue, PEG, and Forward P/E metrics are not meaningful or available given the company reported $0 revenue in FY2025 and negative forward earnings, so they are excluded from the weighted calculation. The dominant financial reality is a going-concern warning from auditors: only $1.88M in cash on hand against roughly $1.1M in quarterly negative operating cash flow, an accumulated deficit of $245.6M, and management's own disclosure that current cash will not fund operations for the next twelve months without raising an additional $20-30M [1]. Daily dollar volume of roughly $1.86M narrowly clears the $1M liquidity floor, though recent daily volume has thinned sharply to roughly $475K/day, signaling deteriorating trading liquidity.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FINITE VS INFINITE GAME — SINEK (25%)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Mindset: </w:t>
      </w:r>
      <w:r>
        <w:rPr>
          <w:rFonts w:ascii="Calibri" w:hAnsi="Calibri"/>
          <w:b/>
          <w:color w:val="DC2626"/>
          <w:sz w:val="22"/>
        </w:rPr>
        <w:t>FINITE</w:t>
      </w:r>
      <w:r>
        <w:rPr>
          <w:rFonts w:ascii="Calibri" w:hAnsi="Calibri"/>
          <w:b w:val="0"/>
          <w:color w:val="6E8450"/>
          <w:sz w:val="22"/>
        </w:rPr>
        <w:t xml:space="preserve">      Overall: </w:t>
      </w:r>
      <w:r>
        <w:rPr>
          <w:rFonts w:ascii="Calibri" w:hAnsi="Calibri"/>
          <w:b/>
          <w:color w:val="DC2626"/>
          <w:sz w:val="28"/>
        </w:rPr>
        <w:t>2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p>
      <w:pPr>
        <w:spacing w:after="120"/>
      </w:pPr>
      <w:r>
        <w:rPr>
          <w:rFonts w:ascii="Calibri" w:hAnsi="Calibri"/>
          <w:b w:val="0"/>
          <w:color w:val="3A4A28"/>
          <w:sz w:val="18"/>
        </w:rPr>
        <w:t>Ernexa's mission to help cancer and autoimmune patients is a typical, unvalidated biotech aspiration rather than a proven cause, and the company's recent history — a 2025 rebrand, two reverse splits, and going-concern doubts — reflects survival-driven reaction rather than principled, patient strategic choice.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Just Cause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4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205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307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The mission to transform 'cold' tumors into treatable ones via ERNA-101 is a genuine patient-benefit aspiration, but the company's 2025 name change from Eterna and complete unproven clinical status mean it has not yet demonstrated the consistency Sinek requires of a real Just Cause.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Trusting Teams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2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102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4409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A 5-person workforce, disclosed going-concern doubts, and two consecutive reverse stock splits point to organizational instability rather than a stable, trust-based culture.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Worthy Rivals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3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654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858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No evidence of competitive framing in either direction was found; the company is too small and pre-commercial for meaningful competitive positioning commentary to exist.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Existential Flexibility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The 2025 pivot from Eterna's cell-reprogramming focus to Ernexa's iMSC cancer/autoimmune platform is a real change in business focus, though it appears driven by financial necessity to find a viable path forward rather than proactive Just-Cause-driven strategy [3].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Courage To Lead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2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102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4409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Continuing to fund IND-enabling work toward a Q3 2026 submission despite disclosed going-concern doubts could reflect either principled long-term commitment or under-capitalized overreach, and no clear evidence distinguishes genuine strategic sacrifice from financial desperation.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INVESTMENT THESIS</w:t>
            </w:r>
          </w:p>
        </w:tc>
      </w:tr>
    </w:tbl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Ernexa's ERNA-101 platform has produced striking preclinical data — complete tumor clearance and 100% long-term survival in ovarian cancer models when combined with PD-1 blockade — and the company has completed key manufacturing and IND-enabling milestones ahead of a targeted Q3 2026 IND submission and Q4 2026 first-in-human Phase 1 trial in platinum-resistant ovarian cancer [1][2]. A speculative investor could view this as a call option on a differentiated off-the-shelf cell-therapy platform entering the clinic within the next two quarters.</w:t>
      </w:r>
    </w:p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The bear case is overwhelming for an IOWN screen: auditors have raised substantial doubt about the company's ability to continue as a going concern, cash on hand was just $1.88M against an accumulated deficit of $245.6M, and management itself discloses it will need to raise $20-30M over the next 12-18 months just to fund IND-enabling studies and a Phase 1 trial [1]. The stock has traded below the Nasdaq $1.00 minimum-bid threshold since February 2026 and has undergone two reverse splits (1-for-15, then 1-for-25) in fifteen months, a pattern strongly associated with severe shareholder dilution and elevated delisting risk [3].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CATALYSTS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Planned IND submission for ERNA-101 in Q3 2026, the first concrete regulatory milestone toward human trials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First-in-human Phase 1 trial in platinum-resistant ovarian cancer targeted for Q4 2026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Any successful capital raise that meaningfully extends runway beyond the currently disclosed sub-12-month going-concern window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DC2626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RISKS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Going-concern doubt disclosed by auditors with only $1.88M cash on hand against an accumulated deficit of $245.6M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Company needs to raise an estimated $20-30M over the next 12-18 months just to fund IND-enabling work and Phase 1 trial costs, implying severe dilution risk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Continued Nasdaq delisting risk after two reverse stock splits in 15 months and sub-$1.00 trading since February 2026 [3]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AI RESILIENCE (25%)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AI Resilience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MODERATE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Cell-therapy drug development is structurally protected from direct AI substitution — regulatory approval, GMP manufacturing, and human clinical trials cannot be replaced by AI tools, and Ernexa's IND-enabling and Phase 1 work for ERNA-101 requires the same costly, physical validation pathway regardless of AI advances [1][2]. AI Opportunity (0/1): Ernexa shows no evidence of using AI-driven target discovery or computational drug design, which is increasingly common among better-capitalized biotech peers, keeping this in the moderate rather than immune tier and representing a potential competitive disadvantage rather than an opportunity.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FAITH ALIGNMENT — INSPIRE INSIGHT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Inspire Impact Score:  </w:t>
      </w:r>
      <w:r>
        <w:rPr>
          <w:rFonts w:ascii="Calibri" w:hAnsi="Calibri"/>
          <w:b/>
          <w:color w:val="16A34A"/>
          <w:sz w:val="28"/>
        </w:rPr>
        <w:t>26</w:t>
      </w:r>
      <w:r>
        <w:rPr>
          <w:rFonts w:ascii="Calibri" w:hAnsi="Calibri"/>
          <w:b/>
          <w:color w:val="B8860B"/>
          <w:sz w:val="20"/>
        </w:rPr>
        <w:t xml:space="preserve">    ALIGNED</w:t>
      </w:r>
    </w:p>
    <w:p>
      <w:pPr>
        <w:spacing w:before="80" w:after="40"/>
      </w:pPr>
      <w:r>
        <w:rPr>
          <w:rFonts w:ascii="Calibri" w:hAnsi="Calibri"/>
          <w:b/>
          <w:color w:val="6E8450"/>
          <w:sz w:val="18"/>
        </w:rPr>
        <w:t xml:space="preserve">Positive: </w:t>
      </w:r>
      <w:r>
        <w:rPr>
          <w:rFonts w:ascii="Calibri" w:hAnsi="Calibri"/>
          <w:b/>
          <w:color w:val="16A34A"/>
          <w:sz w:val="17"/>
        </w:rPr>
        <w:t xml:space="preserve"> Ethical Supply Chain Management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Product Safety </w:t>
      </w:r>
    </w:p>
    <w:p>
      <w:pPr>
        <w:spacing w:before="120"/>
      </w:pPr>
      <w:r>
        <w:rPr>
          <w:rFonts w:ascii="Calibri" w:hAnsi="Calibri"/>
          <w:b w:val="0"/>
          <w:color w:val="9DAF88"/>
          <w:sz w:val="15"/>
        </w:rPr>
        <w:t>Source: Inspire Insight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RESOURCES</w:t>
            </w:r>
          </w:p>
        </w:tc>
      </w:tr>
    </w:tbl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1. </w:t>
      </w:r>
      <w:r>
        <w:rPr>
          <w:rFonts w:ascii="Calibri" w:hAnsi="Calibri"/>
          <w:b w:val="0"/>
          <w:color w:val="3A4A28"/>
          <w:sz w:val="17"/>
        </w:rPr>
        <w:t>Ernexa Therapeutics Inc. Form 10-Q, SEC EDGAR, 2026 (going-concern disclosure, cash position, accumulated deficit)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2. </w:t>
      </w:r>
      <w:r>
        <w:rPr>
          <w:rFonts w:ascii="Calibri" w:hAnsi="Calibri"/>
          <w:b w:val="0"/>
          <w:color w:val="3A4A28"/>
          <w:sz w:val="17"/>
        </w:rPr>
        <w:t>"Ernexa Therapeutics Positioned to Become a Clinical-Stage Biotechnology Company as ERNA-101 On Track for Planned Q3 2026 IND Submission," GlobeNewswire, June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3. </w:t>
      </w:r>
      <w:r>
        <w:rPr>
          <w:rFonts w:ascii="Calibri" w:hAnsi="Calibri"/>
          <w:b w:val="0"/>
          <w:color w:val="3A4A28"/>
          <w:sz w:val="17"/>
        </w:rPr>
        <w:t>"Ernexa Therapeutics Announces 1-for-25 Reverse Stock Split," BioSpace/GlobeNewswire, April-May 2026; "Ernexa Therapeutics Announces 1-for-15 Reverse Stock Split," Nasdaq, 2025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4. </w:t>
      </w:r>
      <w:r>
        <w:rPr>
          <w:rFonts w:ascii="Calibri" w:hAnsi="Calibri"/>
          <w:b w:val="0"/>
          <w:color w:val="3A4A28"/>
          <w:sz w:val="17"/>
        </w:rPr>
        <w:t>Pulse2 — Interview with President &amp; CEO Sanjeev Luther, Ernexa Therapeutics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5. </w:t>
      </w:r>
      <w:r>
        <w:rPr>
          <w:rFonts w:ascii="Calibri" w:hAnsi="Calibri"/>
          <w:b w:val="0"/>
          <w:color w:val="3A4A28"/>
          <w:sz w:val="17"/>
        </w:rPr>
        <w:t>Yahoo Finance — ERNA key statistics, accessed September 2026</w:t>
      </w:r>
    </w:p>
    <w:p>
      <w:pPr>
        <w:spacing w:before="400"/>
        <w:jc w:val="center"/>
      </w:pPr>
      <w:r>
        <w:rPr>
          <w:rFonts w:ascii="Calibri" w:hAnsi="Calibri"/>
          <w:b w:val="0"/>
          <w:color w:val="9DAF88"/>
          <w:sz w:val="16"/>
        </w:rPr>
        <w:t>Paradiem, LLC dba Intentional Ownership (“IOWN”) is a registered investment advisor. The information provided is for educational and informational purposes only and does not constitute investment advice.</w:t>
      </w:r>
    </w:p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