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ESEA</w:t>
      </w:r>
      <w:r>
        <w:rPr>
          <w:rFonts w:ascii="Calibri" w:hAnsi="Calibri"/>
          <w:b/>
          <w:color w:val="1A2010"/>
          <w:sz w:val="40"/>
        </w:rPr>
        <w:t xml:space="preserve">  Euroseas Ltd.</w:t>
      </w:r>
    </w:p>
    <w:p>
      <w:pPr>
        <w:spacing w:after="120"/>
      </w:pPr>
      <w:r>
        <w:rPr>
          <w:rFonts w:ascii="Calibri" w:hAnsi="Calibri"/>
          <w:b/>
          <w:color w:val="6E8450"/>
          <w:sz w:val="18"/>
        </w:rPr>
        <w:t>GROWTH SLEEVE · 2026-10-13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NASDAQ · Greece</w:t>
      </w:r>
    </w:p>
    <w:p>
      <w:pPr>
        <w:spacing w:after="80"/>
      </w:pPr>
      <w:r>
        <w:rPr>
          <w:rFonts w:ascii="Calibri" w:hAnsi="Calibri"/>
          <w:b w:val="0"/>
          <w:color w:val="3A4A28"/>
          <w:sz w:val="20"/>
        </w:rPr>
        <w:t>Euroseas Ltd. provides ocean-going transportation services internationally, owning and operating a fleet of 21 containerships (15 Feeder and 6 Intermediate) with a combined capacity of approximately 61,144 TEU. The company reported Q2 2026 net revenues of $56.5M with net income of $33.2M ($4.74 EPS) and adjusted EBITDA of $40.1M. LTM revenue stands at $226.6M with a contracted revenue backlog of $650M providing fleet coverage through 2028. Four newbuilding contracts are on order and a JV with NRP investors for a 4,484 TEU vessel due 2028. Market cap is approximately $529M.</w:t>
      </w:r>
    </w:p>
    <w:p>
      <w:r>
        <w:rPr>
          <w:rFonts w:ascii="Calibri" w:hAnsi="Calibri"/>
          <w:b/>
          <w:color w:val="6E8450"/>
          <w:sz w:val="18"/>
        </w:rPr>
        <w:t>50 Employees · https://www.euroseas.gr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Euroseas expanded its fleet from 13 vessels in 2021 to 21 containerships by mid-2026, with four additional newbuildings on order, representing disciplined fleet renewal and growth rather than a transformative business model pivot [1]. Revenue grew from $93.9M (2021) to $234.4M (2025), driven by fleet additions and favorable charter markets. AI Deployment (0/2): No evidence of AI-powered products or quantified AI-driven operational savings in fleet management, route optimization, or logistics. Market Share (1/2): Euroseas is a meaningful operator in the feeder and intermediate containership segment, benefiting from the lowest orderbook in recent years for its vessel classes [1]. However, it remains a small player by global standards compared to Maersk, MSC, and CMA CGM. Product Pipeline (2/2): Four newbuilding containerships on order with specific delivery dates, plus a JV vessel due 2028, provide clear fleet growth visibility. Management has secured 87% coverage for 2026 at $30,700/day, 71% for 2027 at $31,900/day, and 41% for 2028 at $32,400/day — exceptional forward revenue clarity [1][2]. R&amp;D Intensity (0/1): Shipping companies do not conduct traditional R&amp;D; Euroseas invests through newbuilding programs with modern eco-designs but reports no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Euroseas does not articulate a distinctive mission or purpose statement beyond providing ocean-going transportation services. The company exists to own and operate containerships profitably — a functional description interchangeable with any peer shipping company [3]. Community Impact (1/2): Euroseas publishes an annual ESG report (fifth edition in 2024) and its ship manager Eurobulk Ltd. maintains ISO 9001:2015 and ISO 14001:2015 certifications [3]. Environmental sustainability and responsible business practices are reported, but no distinctive community programs or charitable initiatives are evident. Employee Retention (0/2): No employee retention data, tenure information, or workforce culture metrics are publicly available. The company is managed externally by Eurobulk Ltd. in Marousi, Greece, with a minimal direct workforce of approximately 50 shore-side employees. Insider Buying (1/2): Mixed insider activity — Director Pittas purchased 500 shares ($33,590) in June 2026, while CFO Aslidis sold 1,000 shares ($70,820) and Pittas separately sold 500 shares ($35,100) in April 2026 [1]. Net insider selling slightly outweighs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PEG excluded (N/A due to declining EPS trajectory). Euroseas demonstrates exceptional financial strength across all core metrics [2]. D/E of 39.0% is well below the 70% target, reflecting conservative leverage for a capital-intensive fleet operator. ROE of 29.20% nearly doubles the 15% target, demonstrating outstanding capital efficiency. Profit margin of 59.98% is extraordinary — nearly triple the 20% target — driven by locked-in charter rates and operational leverage across 21 vessels [1]. Revenue growth YoY of 10.1% (2025 vs 2024, $234.4M vs $212.9M) meets the 10% target, though analysts forecast 2026 revenue of $225.6M which would represent a slight decline as Red Sea tailwinds fade. Five-year revenue CAGR of approximately 25.7% (2021-2025) significantly exceeds the 10% target, reflecting fleet expansion during the container shipping supercycle. Forward P/E of 4.26 is deeply discounted, well below the 20 target. Liquidity floor cleared: 40,850 avg daily volume x $71.11 = $2.9M daily turnover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Euroseas operates with disciplined, long-term fleet investment under Chairman Aristides Pittas, maintaining conservative leverage and locking in multi-year charter coverage. However, the company lacks a transformative vision beyond profitable ship ownership. The fleet renewal program and JV formation show strategic foresight but not existential reinvention. Sinek would see a well-run finite player — optimizing returns within a defined game rather than advancing a cause that transcends the current charter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Euroseas exists to own and operate containerships profitably. While the company contributes to global trade infrastructure and publishes ESG reports demonstrating environmental awareness [3], it does not articulate a Just Cause beyond financial returns to shareholders. Leadership commentary centers on fleet growth, charter rates, dividend increases, and share buybacks [1]. Sinek would classify this as a company playing to win financially rather than playing to advance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Euroseas is externally managed by Eurobulk Ltd., making traditional organizational culture assessment difficult. The management team under Pittas and CFO Aslidis has been stable for many years, providing leadership continuity through multiple shipping cycles [1]. ISO certifications suggest process maturity [3]. However, with minimal direct employees and an external management model, there is limited evidence of the empowered, trust-based culture Sinek values.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strengths as motivation for improvement. Euroseas competes in a fragmented container shipping market against larger operators, but management commentary focuses on market conditions and charter rate dynamics rather than competitive learning [1]. The company's competitive language centers on asset value, fleet utilization, and market timing.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Euroseas has evolved its fleet composition from older vessels to modern, fuel-efficient newbuilds and formed a joint venture with NRP investors to access new capital structures [1]. The company has adapted to tightening environmental regulations by ordering eco-design vessels. However, these are incremental adaptations within the same business model — own and charter containerships — not a transformative reinvention driven by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Euroseas demonstrated forward-thinking investment by ordering four newbuildings and forming a JV during the current strong market, building fleet capacity for 2027-2028 [1]. The company maintains a low dividend payout ratio (15.64%) despite generating substantial free cash flow, retaining capital for fleet growth [2]. However, these are pro-cyclical investments during a boom rather than counter-cyclical courage or costly bets against 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Euroseas at $71.11 and 4.80x forward earnings is one of the cheapest equities in the market, generating ~60% profit margins, 29.2% ROE, and substantial free cash flow on a ~$502M market cap [2]. Q2 2026 delivered $56.5M revenue with $33.2M net income ($4.74 EPS), continuing the strong profitability trend [1]. The $650M contracted revenue backlog with 87% of 2026 covered at $30,700/day and 71% of 2027 at $31,900/day provides exceptional earnings visibility for a shipping company. D/E of 39.0% reflects conservative leverage, and the 4.50% dividend yield with only 15.64% payout ratio leaves substantial room for dividend increases. Four newbuildings on order plus a JV vessel expand capacity for the next cycle while the Inspire Insight score of 42 (ALIGNED) reflects responsible operations.</w:t>
      </w:r>
    </w:p>
    <w:p>
      <w:pPr>
        <w:spacing w:after="120"/>
      </w:pPr>
      <w:r>
        <w:rPr>
          <w:rFonts w:ascii="Calibri" w:hAnsi="Calibri"/>
          <w:b w:val="0"/>
          <w:color w:val="3A4A28"/>
          <w:sz w:val="20"/>
        </w:rPr>
        <w:t>The bear case centers on peak-cycle risk and structural shipping volatility. The deeply discounted Forward P/E of 4.80 reflects the market's conviction that current earnings are near-peak — analysts forecast 2026 revenue of $225.6M, a slight decline from 2025's $234.4M, as Red Sea disruption tailwinds fade and new vessel supply enters the global fleet [2]. Container shipping is inherently cyclical, and Euroseas' extraordinary 59.98% margins could compress toward historical averages of 20-30% in a rate downturn. The company's micro-cap scale (7.06M shares outstanding) and average daily volume of only 40,850 shares ($2.9M turnover) create liquidity risk for larger positions [2]. The external management structure through related-party Eurobulk Ltd. introduces governance opacity typical of Greek shipping companies [3]. The newbuilding program adds execution risk if deliveries coincide with a weaker market. Innovation (4/10) and Inspiration (3/10) scores reflect a company focused on financial returns rather than building enduring competitive advantages beyond the current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Contracted revenue backlog of $650M with fleet coverage of 87% (2026), 71% (2027), and 41% (2028) at rates exceeding $30,000/day provides multi-year earnings floor even if spot rates decline [1]</w:t>
      </w:r>
    </w:p>
    <w:p>
      <w:pPr>
        <w:spacing w:before="40" w:after="40"/>
        <w:ind w:left="283"/>
      </w:pPr>
      <w:r>
        <w:rPr>
          <w:rFonts w:ascii="Calibri" w:hAnsi="Calibri"/>
          <w:b/>
          <w:color w:val="4A6B25"/>
          <w:sz w:val="20"/>
        </w:rPr>
        <w:t xml:space="preserve">2. </w:t>
      </w:r>
      <w:r>
        <w:rPr>
          <w:rFonts w:ascii="Calibri" w:hAnsi="Calibri"/>
          <w:b w:val="0"/>
          <w:color w:val="3A4A28"/>
          <w:sz w:val="20"/>
        </w:rPr>
        <w:t>Progressive dividend growth with only 15.64% payout ratio — the board has room to substantially increase the $3.20/share annual dividend as newbuilds enter the fleet and generate incremental cash flow [2]</w:t>
      </w:r>
    </w:p>
    <w:p>
      <w:pPr>
        <w:spacing w:before="40" w:after="40"/>
        <w:ind w:left="283"/>
      </w:pPr>
      <w:r>
        <w:rPr>
          <w:rFonts w:ascii="Calibri" w:hAnsi="Calibri"/>
          <w:b/>
          <w:color w:val="4A6B25"/>
          <w:sz w:val="20"/>
        </w:rPr>
        <w:t xml:space="preserve">3. </w:t>
      </w:r>
      <w:r>
        <w:rPr>
          <w:rFonts w:ascii="Calibri" w:hAnsi="Calibri"/>
          <w:b w:val="0"/>
          <w:color w:val="3A4A28"/>
          <w:sz w:val="20"/>
        </w:rPr>
        <w:t>Four newbuilding deliveries with modern eco-designs positioned to command premium charter rates as IMO 2030 environmental regulations tighten, potentially widening the gap between modern and older vessel earnings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Red Sea route normalization could release 10-15% of global containership capacity currently absorbed by longer routing, triggering charter rate declines that would compress earnings as locked-in contracts expire in 2027-2028 [1]</w:t>
      </w:r>
    </w:p>
    <w:p>
      <w:pPr>
        <w:spacing w:before="40" w:after="40"/>
        <w:ind w:left="283"/>
      </w:pPr>
      <w:r>
        <w:rPr>
          <w:rFonts w:ascii="Calibri" w:hAnsi="Calibri"/>
          <w:b/>
          <w:color w:val="4A6B25"/>
          <w:sz w:val="20"/>
        </w:rPr>
        <w:t xml:space="preserve">2. </w:t>
      </w:r>
      <w:r>
        <w:rPr>
          <w:rFonts w:ascii="Calibri" w:hAnsi="Calibri"/>
          <w:b w:val="0"/>
          <w:color w:val="3A4A28"/>
          <w:sz w:val="20"/>
        </w:rPr>
        <w:t>Micro-cap liquidity risk with only 40,850 shares trading daily ($2.9M turnover) — institutional investors cannot build meaningful positions without moving the stock, and bid-ask spreads widen during market stress [2]</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by related-party Eurobulk Ltd. creates governance risk with limited transparency into management fee structures and potential conflicts between insider interests and minority shareholders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Container shipping is a fundamentally physical-world business — moving containerized cargo across oceans on steel vessels cannot be replaced by software or AI models [1]. Euroseas' core revenue depends on owning and operating ships, chartering them at market rates, and navigating physical trade routes. AI structurally cannot displace this business; no analyst has flagged AI substitution risk for container shipping operators. The Red Sea/Suez Canal disruptions that rerouted global shipping demonstrate that physical logistics remain irreplaceable and subject to geopolitical, not technological, forces. AI may improve route optimization and port scheduling, but these efficiency tools benefit incumbents rather than displacing them. AI Opportunity (0/1): Euroseas generates no revenue from AI products or services and has not disclosed any AI-driven revenue streams or internal AI deployments generating quantifiable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Euroseas Q2 2026 Earnings Release — Revenue $56.5M, Net Income $33.2M ($4.74 EPS), Adjusted EBITDA $40.1M, $650M Contracted Revenue Backlog, GlobeNewsWire, August 13, 2026</w:t>
      </w:r>
    </w:p>
    <w:p>
      <w:pPr>
        <w:spacing w:before="20" w:after="20"/>
        <w:ind w:left="170"/>
      </w:pPr>
      <w:r>
        <w:rPr>
          <w:rFonts w:ascii="Calibri" w:hAnsi="Calibri"/>
          <w:b/>
          <w:color w:val="4A6B25"/>
          <w:sz w:val="15"/>
        </w:rPr>
        <w:t xml:space="preserve">2. </w:t>
      </w:r>
      <w:r>
        <w:rPr>
          <w:rFonts w:ascii="Calibri" w:hAnsi="Calibri"/>
          <w:b w:val="0"/>
          <w:color w:val="3A4A28"/>
          <w:sz w:val="17"/>
        </w:rPr>
        <w:t>StockAnalysis/Yahoo Finance — ESEA Key Statistics: Stock Price $71.11, Forward P/E 4.80, ROE 29.20%, Profit Margin ~60%, D/E 0.39, Market Cap ~$502M, Dividend Yield 4.50%,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Euroseas ESG Report 2024 — ISO 9001:2015/14001:2015 Certified Operations via Eurobulk Ltd., Environmental and Governance Disclosures, euroseas.gr</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