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ESE</w:t>
      </w:r>
      <w:r>
        <w:rPr>
          <w:rFonts w:ascii="Calibri" w:hAnsi="Calibri"/>
          <w:b/>
          <w:color w:val="1A2010"/>
          <w:sz w:val="40"/>
        </w:rPr>
        <w:t xml:space="preserve">  ESCO Technologies Inc.</w:t>
      </w:r>
    </w:p>
    <w:p>
      <w:pPr>
        <w:spacing w:after="120"/>
      </w:pPr>
      <w:r>
        <w:rPr>
          <w:rFonts w:ascii="Calibri" w:hAnsi="Calibri"/>
          <w:b/>
          <w:color w:val="6E8450"/>
          <w:sz w:val="18"/>
        </w:rPr>
        <w:t>GROWTH SLEEVE · 2026-09-09 · Inspire: 45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Specialty Industrial Machinery · NYSE · United States</w:t>
      </w:r>
    </w:p>
    <w:p>
      <w:pPr>
        <w:spacing w:after="80"/>
      </w:pPr>
      <w:r>
        <w:rPr>
          <w:rFonts w:ascii="Calibri" w:hAnsi="Calibri"/>
          <w:b w:val="0"/>
          <w:color w:val="3A4A28"/>
          <w:sz w:val="20"/>
        </w:rPr>
        <w:t>ESCO Technologies is a diversified industrial technology company operating across three segments: Aerospace &amp; Defense (A&amp;D) providing filtration, fluid control, and RF shielding products; Test delivering EMC test chambers and acoustic test systems; and Utility Solutions Group (USG) offering monitoring, control, and communication equipment for electric utilities. Under CEO Bryan Sayler (since January 2023), ESCO has delivered record results with Q3 FY2026 revenue of $339M (+14% YoY), record backlog of $1.54B, and raised full-year adjusted EPS guidance to $8.30-$8.40. Market cap is approximately $8.8B.</w:t>
      </w:r>
    </w:p>
    <w:p>
      <w:r>
        <w:rPr>
          <w:rFonts w:ascii="Calibri" w:hAnsi="Calibri"/>
          <w:b/>
          <w:color w:val="6E8450"/>
          <w:sz w:val="18"/>
        </w:rPr>
        <w:t>6,500 Employees · https://www.escotechnologies.com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ESCO has executed a multi-year transformation from a mid-cap industrial into a $8.8B diversified technology platform with accelerating growth. Q2 FY2026 revenue surged 33% YoY and Q3 grew 14% to $339M, with year-to-date growth of 26.3% driven by strong A&amp;D and Test segment demand [1][2]. The company has successfully integrated acquisitions while maintaining organic growth, and FY2025 revenue of $1.095B represented 53% cumulative growth from FY2021's $715M [3]. AI Deployment (0/2): ESCO is a physical-products industrial company with no evidence of meaningful AI deployment in its products or operations. The company's competitive advantage comes from engineering expertise, qualification history, and application engineering rather than AI capabilities [4]. Market Share (2/2): ESCO holds leading niche positions across its three segments — the Test segment is a market leader in EMC test chambers and acoustic enclosures, the A&amp;D segment holds strong positions in aerospace filtration and RF shielding for defense applications, and USG provides critical utility monitoring equipment [4]. These are specialized markets with high barriers to entry and long customer qualification cycles. Pipeline (2/2): Record backlog of $1.54B with a book-to-bill ratio of 121% provides exceptional forward revenue visibility [2]. Q2 orders of $378M (up 42% from $266M) and first-half orders of $935M demonstrate accelerating demand across segments. R&amp;D Intensity (1/1): ESCO's R&amp;D strategy is applied, business-unit-led, and closely tied to customer needs, with the company competing through technical performance and differentiation rather than cost leadership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ESCO's purpose centers on delivering engineered solutions for critical applications in defense, utility infrastructure, and environmental testing — meaningful work that protects aircrews, ensures grid reliability, and enables product safety testing [4]. While the mission is specific to the company's technical domains, it lacks the transformative or aspirational quality that distinguishes exceptional purpose-driven organizations. CEO Bryan Sayler has articulated a vision around operational excellence and leadership development that goes beyond pure financial metrics. Community Impact (0/2): ESCO publishes ESG reports documenting environmental and social initiatives, but no specific community programs, philanthropic commitments, or social impact partnerships were identified in research [5]. The company's mid-cap scale and diversified industrial focus limit visibility of community engagement. Employee Retention (1/2): The Leadership Education and Development (LEAD) Program is a distinctive year-long initiative equipping participants with skills for career growth across ESCO, with CEO Sayler delivering keynote remarks and actively engaging with participants [4]. The emphasis on continuous learning, cross-functional development, and leadership visibility suggests a culture that invests in retention. However, no specific turnover data or tenure metrics are publicly available. Insider Buying (1/2): No evidence of material open-market insider purchases was identified, though equity compensation alignment is standard for the executive team.</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financial metrics. ESCO demonstrates exceptional balance sheet strength with D/E of just 13%, well below the 70% target, and profit margin of 24.69% exceeding the 20% threshold [6]. Revenue growth YoY of 22% (TTM basis) and 5-year CAGR of ~11% both exceed the 10% target, reflecting sustained execution [3]. The primary drags are the premium valuation (Forward P/E of 40.19x, significantly above the 20x target) and PEG ratio of 2.48 (scored with 2x weight as a Growth stock), which reflect the market pricing in continued strong execution [6]. ROE of 9.21% is below the 15% target, penalized at 2x weight for Growth stocks, reflecting the company's conservative leverage and reinvestment posture. The stock easily clears the liquidity floor with daily trading volume of ~312,000 shares at ~$333 per share (~$104M daily turnover).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ESCO Technologies operates with a mixed mindset — the company demonstrates long-term thinking through conservative financial management (13% D/E), investment in leadership development (LEAD Program), and strategic patience with multi-year defense qualification cycles, but lacks the transformative purpose and organizational transparency that characterize true infinite-game players [4]. The business model is well-suited to long-term play, with record $1.54B backlog providing multi-year revenue visibility and high switching costs in defense and utility markets [2]. CEO Sayler's emphasis on operational excellence over headline-grabbing pivots is pragmatic but not visionary.</w:t>
      </w:r>
    </w:p>
    <w:p>
      <w:pPr>
        <w:spacing w:before="200" w:after="40"/>
      </w:pPr>
      <w:r>
        <w:rPr>
          <w:rFonts w:ascii="Calibri" w:hAnsi="Calibri"/>
          <w:b/>
          <w:color w:val="1A2010"/>
          <w:sz w:val="22"/>
        </w:rPr>
        <w:t>Just Cause</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ESCO's purpose — delivering engineered solutions that protect aircrews, ensure grid reliability, and enable product safety compliance — is connected to outcomes that matter beyond quarterly results [4]. The A&amp;D segment serves missions critical to national defense, and USG supports utility infrastructure that millions depend on. However, the cause is expressed in functional business terms rather than as an aspirational vision that would attract talent and inspire sacrifice. CEO Sayler's focus on 'operational excellence' and 'leadership development' is laudable but does not articulate what ESCO exists to advance beyond its commercial mission.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LEAD Program represents a genuine investment in organizational trust — a year-long development initiative with CEO participation signals that leadership believes in growing people from within rather than treating employees as interchangeable [4]. The emphasis on cross-functional development and leadership visibility aligns with Sinek's model of creating environments where people feel safe to be vulnerable and grow. However, no specific evidence of psychological safety practices, flat communication structures, or employee voice mechanisms was identified. The company's diversified structure across three segments and multiple facilities creates natural silos that may limit cross-organizational trust.</w:t>
      </w:r>
    </w:p>
    <w:p>
      <w:pPr>
        <w:spacing w:before="200" w:after="40"/>
      </w:pPr>
      <w:r>
        <w:rPr>
          <w:rFonts w:ascii="Calibri" w:hAnsi="Calibri"/>
          <w:b/>
          <w:color w:val="1A2010"/>
          <w:sz w:val="22"/>
        </w:rPr>
        <w:t>Worthy Rivals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ESCO competes against established players in each segment — defense suppliers in A&amp;D, test equipment manufacturers in Test, and utility technology providers in USG — but no public evidence was found of leadership framing competition constructively or explicitly learning from rivals [4]. The company's differentiation strategy (competing on technical performance rather than cost) suggests a healthy competitive orientation focused on self-improvement rather than rival destruction, but this may reflect market positioning rather than philosophical commitment to learning from competitors.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ESCO has demonstrated meaningful strategic evolution over the past decade, transforming from its original environmental services focus into a diversified A&amp;D, Test, and Utility platform through disciplined acquisitions and organic development [4]. The company showed willingness to exit businesses that no longer fit the portfolio. However, the transformation has been incremental and accretive rather than the kind of existential leap that Sinek describes — ESCO has refined and extended its portfolio rather than fundamentally reimagining what it could become. The conservative balance sheet provides flexibility for future pivots.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ESCO's financial conservatism (13% D/E ratio) and reinvestment discipline demonstrate willingness to forgo short-term leverage-fueled returns for long-term resilience [6]. The LEAD Program investment and long-dated defense contract commitments show patience that quarterly-focused companies lack. However, no evidence was found of truly courageous strategic decisions that sacrificed near-term results for long-term positioning — the company's growth has been steady and disciplined rather than bold. Management raised full-year EPS guidance to $8.30-$8.40, suggesting confidence but not risk-taking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ESCO Technologies at $333 per share ($8.8B market cap) is a high-quality industrial compounder delivering record financial results — Q3 FY2026 revenue grew 14% to $339M with adjusted EPS of $2.20 (+37.5%), following a blistering Q2 with 33% revenue growth and 63% EPS growth [1][2]. The record backlog of $1.54B with 121% book-to-bill provides 4-5 quarters of revenue visibility and signals continued demand acceleration across A&amp;D, Test, and Utility segments [2]. Management's raised full-year guidance to $8.30-$8.40 adjusted EPS reflects confidence in sustained momentum. The conservative balance sheet (13% D/E), strong profit margins (24.69%), and niche market leadership positions create a durable competitive moat reinforced by defense qualification cycles and utility infrastructure switching costs [6]. The Inspire Impact Score of 45 (ALIGNED) with zero negative attributions makes ESE accessible to all faith-based portfolios.</w:t>
      </w:r>
    </w:p>
    <w:p>
      <w:pPr>
        <w:spacing w:after="120"/>
      </w:pPr>
      <w:r>
        <w:rPr>
          <w:rFonts w:ascii="Calibri" w:hAnsi="Calibri"/>
          <w:b w:val="0"/>
          <w:color w:val="3A4A28"/>
          <w:sz w:val="20"/>
        </w:rPr>
        <w:t>The bear case centers on valuation and growth sustainability. Forward P/E of 40.19x and PEG of 2.48 price in substantial continued growth — any deceleration from the current 22%+ revenue trajectory could trigger significant multiple compression, especially for a company that had a revenue dip in FY2024 ($919M vs. $956M in FY2023) demonstrating cyclical exposure [3][6]. The 9.21% ROE, while reflecting conservative leverage, is below industry peers and indicates the company is not yet generating returns commensurate with its premium valuation. ESCO's revenue is significantly exposed to defense spending, which faces bipartisan budget scrutiny and potential sequestration risk. The Utility Solutions Group competes in a market undergoing rapid technology evolution where larger players (Itron, Landis+Gyr) have greater scale. The minimal dividend yield of 0.12% provides no downside cushion. The company has not articulated an AI strategy, which limits optionality as industrial AI becomes a competitive differentiator. At 40x forward earnings, the stock requires near-flawless execution to justify its current price.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$1.54B backlog with 121% book-to-bill provides multi-quarter revenue visibility and supports continued double-digit growth into FY2027, particularly if defense budget appropriations accelerate procurement timelines [2]</w:t>
      </w:r>
    </w:p>
    <w:p>
      <w:pPr>
        <w:spacing w:before="40" w:after="40"/>
        <w:ind w:left="283"/>
      </w:pPr>
      <w:r>
        <w:rPr>
          <w:rFonts w:ascii="Calibri" w:hAnsi="Calibri"/>
          <w:b/>
          <w:color w:val="4A6B25"/>
          <w:sz w:val="20"/>
        </w:rPr>
        <w:t xml:space="preserve">2. </w:t>
      </w:r>
      <w:r>
        <w:rPr>
          <w:rFonts w:ascii="Calibri" w:hAnsi="Calibri"/>
          <w:b w:val="0"/>
          <w:color w:val="3A4A28"/>
          <w:sz w:val="20"/>
        </w:rPr>
        <w:t>Margin expansion from operating leverage as revenue scales above $1.3B annual run rate — the A&amp;D and Test segments have demonstrated operating margin improvement with volume, and management's raised EPS guidance implies margin accretion beyond pure revenue growth [1][2]</w:t>
      </w:r>
    </w:p>
    <w:p>
      <w:pPr>
        <w:spacing w:before="40" w:after="40"/>
        <w:ind w:left="283"/>
      </w:pPr>
      <w:r>
        <w:rPr>
          <w:rFonts w:ascii="Calibri" w:hAnsi="Calibri"/>
          <w:b/>
          <w:color w:val="4A6B25"/>
          <w:sz w:val="20"/>
        </w:rPr>
        <w:t xml:space="preserve">3. </w:t>
      </w:r>
      <w:r>
        <w:rPr>
          <w:rFonts w:ascii="Calibri" w:hAnsi="Calibri"/>
          <w:b w:val="0"/>
          <w:color w:val="3A4A28"/>
          <w:sz w:val="20"/>
        </w:rPr>
        <w:t>Potential acquisitions funded by conservative balance sheet (13% D/E) and strong free cash flow ($224M TTM) could extend ESCO's platform into adjacent industrial technology niches, repeating the successful acquisition playbook of the past five years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Premium valuation (40.19x forward P/E) leaves no margin for error — a return to the FY2024 revenue dip pattern ($919M vs $956M in FY2023) would trigger severe multiple compression, and the cyclical nature of defense procurement creates inherent revenue volatility [3][6]</w:t>
      </w:r>
    </w:p>
    <w:p>
      <w:pPr>
        <w:spacing w:before="40" w:after="40"/>
        <w:ind w:left="283"/>
      </w:pPr>
      <w:r>
        <w:rPr>
          <w:rFonts w:ascii="Calibri" w:hAnsi="Calibri"/>
          <w:b/>
          <w:color w:val="4A6B25"/>
          <w:sz w:val="20"/>
        </w:rPr>
        <w:t xml:space="preserve">2. </w:t>
      </w:r>
      <w:r>
        <w:rPr>
          <w:rFonts w:ascii="Calibri" w:hAnsi="Calibri"/>
          <w:b w:val="0"/>
          <w:color w:val="3A4A28"/>
          <w:sz w:val="20"/>
        </w:rPr>
        <w:t>Defense spending concentration risk as A&amp;D segment drives a significant portion of orders and backlog, making ESCO vulnerable to budget sequestration, procurement delays, or shifting defense priorities under a new administration [2]</w:t>
      </w:r>
    </w:p>
    <w:p>
      <w:pPr>
        <w:spacing w:before="40" w:after="40"/>
        <w:ind w:left="283"/>
      </w:pPr>
      <w:r>
        <w:rPr>
          <w:rFonts w:ascii="Calibri" w:hAnsi="Calibri"/>
          <w:b/>
          <w:color w:val="4A6B25"/>
          <w:sz w:val="20"/>
        </w:rPr>
        <w:t xml:space="preserve">3. </w:t>
      </w:r>
      <w:r>
        <w:rPr>
          <w:rFonts w:ascii="Calibri" w:hAnsi="Calibri"/>
          <w:b w:val="0"/>
          <w:color w:val="3A4A28"/>
          <w:sz w:val="20"/>
        </w:rPr>
        <w:t>ROE of 9.21% is below the cost of equity implied by a 40x earnings multiple, creating a fundamental disconnect between operational returns and market valuation that cannot persist indefinitely without substantial profitability improvement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ESCO's core business is exceptionally well-insulated from AI disruption. The company manufactures physical products — RF shielding test chambers, aerospace filtration systems, utility monitoring equipment — that require deep domain engineering expertise, decades of qualification history, and customer-specific application engineering [4]. Defense customers face multi-year qualification cycles and regulatory requirements (ITAR, DFARS) that create structural switching costs independent of any AI capability. The Test segment's EMC chambers and acoustic enclosures are physical infrastructure that AI cannot replace. The Utility Solutions Group provides hardware-software systems for grid monitoring where the physical sensors and communication networks cannot be virtualized. The primary AI risk is indirect — if AI disrupts the end markets ESCO serves (defense, utilities, consumer electronics testing), demand for ESCO's products could be affected, but this is a second-order and low-probability risk. AI Opportunity (0/1): ESCO has limited AI upside in its current product portfolio. Some potential exists for AI-enhanced predictive maintenance in utility monitoring and intelligent test automation, but the company has not articulated an AI strategy or deployed AI-enabled products.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ESCO Technologies Q2 FY2026 Earnings Release — Revenue $309.3M (+33% YoY), Adjusted EPS $1.91 (+63.2%), Orders $378M, Backlog $1.47B, May 2026</w:t>
      </w:r>
    </w:p>
    <w:p>
      <w:pPr>
        <w:spacing w:before="20" w:after="20"/>
        <w:ind w:left="170"/>
      </w:pPr>
      <w:r>
        <w:rPr>
          <w:rFonts w:ascii="Calibri" w:hAnsi="Calibri"/>
          <w:b/>
          <w:color w:val="4A6B25"/>
          <w:sz w:val="15"/>
        </w:rPr>
        <w:t xml:space="preserve">2. </w:t>
      </w:r>
      <w:r>
        <w:rPr>
          <w:rFonts w:ascii="Calibri" w:hAnsi="Calibri"/>
          <w:b w:val="0"/>
          <w:color w:val="3A4A28"/>
          <w:sz w:val="17"/>
        </w:rPr>
        <w:t>ESCO Technologies Q3 FY2026 Earnings Release — Revenue $339M (+14% YoY), Adjusted EPS $2.20 (+37.5%), Record Backlog $1.54B, Book-to-Bill 121%, Raised FY2026 Guidance to $8.30-$8.40, August 2026</w:t>
      </w:r>
    </w:p>
    <w:p>
      <w:pPr>
        <w:spacing w:before="20" w:after="20"/>
        <w:ind w:left="170"/>
      </w:pPr>
      <w:r>
        <w:rPr>
          <w:rFonts w:ascii="Calibri" w:hAnsi="Calibri"/>
          <w:b/>
          <w:color w:val="4A6B25"/>
          <w:sz w:val="15"/>
        </w:rPr>
        <w:t xml:space="preserve">3. </w:t>
      </w:r>
      <w:r>
        <w:rPr>
          <w:rFonts w:ascii="Calibri" w:hAnsi="Calibri"/>
          <w:b w:val="0"/>
          <w:color w:val="3A4A28"/>
          <w:sz w:val="17"/>
        </w:rPr>
        <w:t>StockAnalysis — ESE Historical Revenue: FY2021 $715M, FY2022 $858M, FY2023 $956M, FY2024 $919M, FY2025 $1,095M,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ESCO Technologies Corporate — Leadership, LEAD Program, R&amp;D Strategy, Business-Unit-Led Innovation, Differentiation Positioning,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ESCO Technologies ESG Report 2022 — Environmental, Social, Governance Initiatives and Board Oversight,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StockAnalysis, Yahoo Finance, GuruFocus — ESE Key Statistics: Stock Price $332.78, Forward P/E 40.19x, PEG 2.48, D/E 13%, ROE 9.21%, Profit Margin 24.69%, Avg Volume 312,052,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