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ESPR</w:t>
      </w:r>
      <w:r>
        <w:rPr>
          <w:rFonts w:ascii="Calibri" w:hAnsi="Calibri"/>
          <w:b/>
          <w:color w:val="1A2010"/>
          <w:sz w:val="40"/>
        </w:rPr>
        <w:t xml:space="preserve">  Esperion Therapeutics, Inc.</w:t>
      </w:r>
    </w:p>
    <w:p>
      <w:pPr>
        <w:spacing w:after="120"/>
      </w:pPr>
      <w:r>
        <w:rPr>
          <w:rFonts w:ascii="Calibri" w:hAnsi="Calibri"/>
          <w:b/>
          <w:color w:val="6E8450"/>
          <w:sz w:val="18"/>
        </w:rPr>
        <w:t>GROWTH SLEEVE · 2026-08-26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NASDAQ · United States</w:t>
      </w:r>
    </w:p>
    <w:p>
      <w:pPr>
        <w:spacing w:after="80"/>
      </w:pPr>
      <w:r>
        <w:rPr>
          <w:rFonts w:ascii="Calibri" w:hAnsi="Calibri"/>
          <w:b w:val="0"/>
          <w:color w:val="3A4A28"/>
          <w:sz w:val="20"/>
        </w:rPr>
        <w:t>Esperion Therapeutics is a commercial-stage biopharmaceutical company focused on non-statin LDL-cholesterol-lowering therapies, marketing NEXLETOL and NEXLIZET (bempedoic acid-based oral medicines) in the U.S. and NILEMDO/NUSTENDI internationally through partners including Daiichi Sankyo and Otsuka. Full-year 2025 revenue grew 21% to $403.1M, with Q1 2026 revenue up 23.2% YoY to $80.1M, driven by rising U.S. prescription volume and international royalty/milestone payments. On May 1, 2026, Esperion entered a definitive agreement to be acquired by healthcare investment firm ARCHIMED for $3.16/share cash (up to $1.1B total equity value) plus up to $100M in contingent milestone payments, with the deal expected to close Q3 2026 and take the company private [1].</w:t>
      </w:r>
    </w:p>
    <w:p>
      <w:r>
        <w:rPr>
          <w:rFonts w:ascii="Calibri" w:hAnsi="Calibri"/>
          <w:b/>
          <w:color w:val="6E8450"/>
          <w:sz w:val="18"/>
        </w:rPr>
        <w:t>294 Employees · https://www.esperion.com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Esperion has driven multiple product expansions in the last 5 years — the core NEXLETOL/NEXLIZET franchise now spans EU (NILEMDO/NUSTENDI), a newly commercialized Japan launch via Otsuka that generated a $90M payment, and the 2026 acquisition of Corstasis Therapeutics to add Enbumyst (bumetanide nasal spray) to the cardiovascular portfolio [2][3]. This is meaningful multi-geography expansion but not a transformative business-model pivot. AI Deployment (1/2): Esperion states its teams are 'empowered to adopt AI to support efficiencies and maximize budgets,' but no shipped AI-enabled product or quantified savings figure was found [4]. Market Share (1/2): NEXLETOL/NEXLIZET are the first-in-class oral ACL-inhibitor non-statin LDL therapies, a category Esperion effectively created, but no absolute market-share percentage was disclosed. Product Pipeline (1/2): The Corstasis acquisition and the completed Japan launch are specific, dated developments, though forward multi-year pipeline visibility beyond these is limited. R&amp;D Intensity (0/1): No R&amp;D-to-revenue disclosure relative to specialty pharma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Esperion's stated purpose — bringing new non-statin medicines to market for patients whose cardiovascular risk isn't adequately addressed by existing therapies — is clear and specific to its LDL-C franchise but is fairly standard specialty-pharma framing rather than a distinctively 'bigger' cause [2]. Community Impact (0/2): No charitable programs, foundation, or community investment data was found. Employee Retention (0/2): No turnover or tenure data is publicly available for the 294-person organization. Insider Buying (0/2): Insiders have been net sellers in 2026 — CEO Sheldon Koenig sold 53,588 shares (~$168.8K) and CFO Benjamin Halladay and CLO Benjamin Looker also sold shares in June 2026, consistent with routine equity-award liquidity ahead of the pending buyout rather than conviction buying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Esperion clears the liquidity floor easily (~$46M daily dollar volume). Revenue growth is strong — 23.2% YoY and a ~75% 3-year revenue CAGR (2022 $75.5M to 2025 $403.1M) as the bempedoic acid franchise scales, both capped at the 1.0 maximum. Forward P/E of 12.35x is well below the 20x target, reflecting depressed valuation ahead of the ARCHIMED buyout. However, the balance sheet is weak: shareholders' equity is negative (book value of -$1.196/share against $543.8M of total debt), making debt-to-equity and ROE undefined in a way that is economically worse than the 300%/0% floors, so both are scored at zero. Profit margin remains slightly negative (-1.8%), also scoring zero. PEG is unavailable and excluded from the weighted calculation.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Esperion shows a genuine but narrow purpose around expanding access to non-statin LDL-lowering therapy, and management has continued to invest in geographic and portfolio expansion (Japan launch, Corstasis acquisition) even while the core business remains unprofitable. However, the company's decision to sell itself to ARCHIMED for cash rather than continue as an independent public compounder — combined with net insider selling ahead of the deal and no evidence of a high-trust internal culture — points to a company optimizing for an exit rather than a multi-decade cause, placing it firmly in Sinek's finite category.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Esperion's purpose of expanding non-statin LDL-C treatment options is genuine and patient-oriented, and it has shaped continued investment in franchise expansion (Japan, EU, Corstasis) [2][3]. But the cause has not been tested through a leadership or market crisis, and the company's own decision to accept a private-equity buyout rather than pursue an independent long-term path undercuts the case that this is a cause built to outlast any single ownership structure.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specific evidence of layoffs, high turnover, or internal instability was found, and the 294-person organization has continued to add senior commercial leadership (CCO John Harlow, November 2025) [4]. Absent any positive retention or empowerment data, this is scored as an average, unremarkable environment rather than a demonstrated high-trust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was found framing statin/PCSK9-inhibitor competitors as 'worthy rivals' that sharpen Esperion's own strategy; competitive positioning in available sources is limited to clinical-differentiation claims rather than an explicit growth-through-competition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Esperion has remained focused on its original LDL-C/cardiovascular-risk franchise since founding, expanding geographically and adding an adjacent nasal-spray diuretic via the Corstasis deal, but has not undertaken a transformative reinvention of its business model — it is the same core franchise, incrementally extended.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Leadership continued to fund international expansion (Japan launch, Corstasis acquisition) while the company remained unprofitable on a GAAP basis, showing some willingness to invest ahead of near-term earnings. This is a single example rather than a demonstrated pattern of repeated costly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Esperion's underlying franchise is genuinely accelerating — full-year 2025 revenue grew 21% to $403.1M and Q1 2026 revenue rose 23.2% YoY to $80.1M, with U.S. net product revenue up 38% as NEXLETOL/NEXLIZET prescription volume climbs and the Otsuka-partnered Japan launch adds a new royalty stream [1][2]. Forward P/E of 12.35x looks inexpensive for a company still compounding revenue at a ~75% three-year CAGR from a small base, and the pending inclusion of bempedoic acid in the U.S. Dyslipidemia Guidelines could be a further adoption catalyst. Most decisively, ARCHIMED's definitive agreement to acquire Esperion for $3.16/share cash (58% premium to the pre-announcement price) plus up to $100M in contingent milestones provides a firm valuation floor and near-term catalyst for the deal's Q3 2026 close [1].</w:t>
      </w:r>
    </w:p>
    <w:p>
      <w:pPr>
        <w:spacing w:after="120"/>
      </w:pPr>
      <w:r>
        <w:rPr>
          <w:rFonts w:ascii="Calibri" w:hAnsi="Calibri"/>
          <w:b w:val="0"/>
          <w:color w:val="3A4A28"/>
          <w:sz w:val="20"/>
        </w:rPr>
        <w:t>The bear case is that this is no longer really a standalone equity story: with the stock trading at $3.18 — essentially at the $3.16 cash deal price — nearly all of the upside from the ARCHIMED transaction is already captured, and the only additional value comes from uncertain, capped contingent milestone payments. The balance sheet is weak on a standalone basis (negative shareholders' equity of roughly -$308M against $543.8M of total debt), and profit margin remains slightly negative, underscoring why a strategic buyer stepped in rather than the company continuing to compound independently. Insiders — including the CEO, CFO, and Chief Legal Officer — have been net sellers of equity in 2026, and regulatory/shareholder approval risk to deal closing remains, with at least one report noting shareholder scrutiny over whether the $3.16 offer is fair [5]. For a long-term IOWN holding, ESPR is a merger-arbitrage situation rather than a durable compounder, and the position should be evaluated on deal-completion risk rather than the underlying franchise's multi-year prospects.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ARCHIMED acquisition closing in Q3 2026 at $3.16/share cash plus up to $100M in contingent milestone payments, which would crystallize value for remaining shareholders [1]</w:t>
      </w:r>
    </w:p>
    <w:p>
      <w:pPr>
        <w:spacing w:before="40" w:after="40"/>
        <w:ind w:left="283"/>
      </w:pPr>
      <w:r>
        <w:rPr>
          <w:rFonts w:ascii="Calibri" w:hAnsi="Calibri"/>
          <w:b/>
          <w:color w:val="4A6B25"/>
          <w:sz w:val="20"/>
        </w:rPr>
        <w:t xml:space="preserve">2. </w:t>
      </w:r>
      <w:r>
        <w:rPr>
          <w:rFonts w:ascii="Calibri" w:hAnsi="Calibri"/>
          <w:b w:val="0"/>
          <w:color w:val="3A4A28"/>
          <w:sz w:val="20"/>
        </w:rPr>
        <w:t>Potential inclusion of bempedoic acid (NEXLETOL/NEXLIZET) in the upcoming U.S. Dyslipidemia Guidelines, which could drive incremental prescriber adoption independent of the deal outcome [2]</w:t>
      </w:r>
    </w:p>
    <w:p>
      <w:pPr>
        <w:spacing w:before="40" w:after="40"/>
        <w:ind w:left="283"/>
      </w:pPr>
      <w:r>
        <w:rPr>
          <w:rFonts w:ascii="Calibri" w:hAnsi="Calibri"/>
          <w:b/>
          <w:color w:val="4A6B25"/>
          <w:sz w:val="20"/>
        </w:rPr>
        <w:t xml:space="preserve">3. </w:t>
      </w:r>
      <w:r>
        <w:rPr>
          <w:rFonts w:ascii="Calibri" w:hAnsi="Calibri"/>
          <w:b w:val="0"/>
          <w:color w:val="3A4A28"/>
          <w:sz w:val="20"/>
        </w:rPr>
        <w:t>Continued ramp of the Otsuka-partnered Japan launch following 2025 regulatory approval, adding a new international royalty stream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Deal-completion risk: any regulatory delay, shareholder objection, or financing issue that pushes back or unwinds the ARCHIMED transaction, given reported shareholder scrutiny over deal fairness [5]</w:t>
      </w:r>
    </w:p>
    <w:p>
      <w:pPr>
        <w:spacing w:before="40" w:after="40"/>
        <w:ind w:left="283"/>
      </w:pPr>
      <w:r>
        <w:rPr>
          <w:rFonts w:ascii="Calibri" w:hAnsi="Calibri"/>
          <w:b/>
          <w:color w:val="4A6B25"/>
          <w:sz w:val="20"/>
        </w:rPr>
        <w:t xml:space="preserve">2. </w:t>
      </w:r>
      <w:r>
        <w:rPr>
          <w:rFonts w:ascii="Calibri" w:hAnsi="Calibri"/>
          <w:b w:val="0"/>
          <w:color w:val="3A4A28"/>
          <w:sz w:val="20"/>
        </w:rPr>
        <w:t>Negative shareholders' equity (-$308M) and $543.8M of total debt leave the company with little standalone financial cushion if the transaction were to fall through [1]</w:t>
      </w:r>
    </w:p>
    <w:p>
      <w:pPr>
        <w:spacing w:before="40" w:after="40"/>
        <w:ind w:left="283"/>
      </w:pPr>
      <w:r>
        <w:rPr>
          <w:rFonts w:ascii="Calibri" w:hAnsi="Calibri"/>
          <w:b/>
          <w:color w:val="4A6B25"/>
          <w:sz w:val="20"/>
        </w:rPr>
        <w:t xml:space="preserve">3. </w:t>
      </w:r>
      <w:r>
        <w:rPr>
          <w:rFonts w:ascii="Calibri" w:hAnsi="Calibri"/>
          <w:b w:val="0"/>
          <w:color w:val="3A4A28"/>
          <w:sz w:val="20"/>
        </w:rPr>
        <w:t>Limited upside for new capital: with the stock trading essentially at the $3.16 cash deal price, there is minimal additional appreciation available before the Q3 2026 close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Esperion's revenue is generated through FDA/EMA-approved prescription drugs sold via a physician-prescribing and payer-reimbursement channel — a highly regulated commercialization model that AI cannot disintermediate. Manufacturing, clinical development, and regulatory approval processes remain structurally insulated from AI substitution, and no analyst commentary was found flagging AI disruption risk specific to Esperion's franchise. AI Opportunity (0/1): No evidence of AI-derived revenue or AI-enabled product features was found for Esperion's drug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Esperion Therapeutics / ARCHIMED Definitive Merger Agreement, $3.16/share cash plus up to $100M contingent milestones, announced May 1, 2026 — Esperion press release, FierceBiotech, Yahoo Finance</w:t>
      </w:r>
    </w:p>
    <w:p>
      <w:pPr>
        <w:spacing w:before="20" w:after="20"/>
        <w:ind w:left="170"/>
      </w:pPr>
      <w:r>
        <w:rPr>
          <w:rFonts w:ascii="Calibri" w:hAnsi="Calibri"/>
          <w:b/>
          <w:color w:val="4A6B25"/>
          <w:sz w:val="15"/>
        </w:rPr>
        <w:t xml:space="preserve">2. </w:t>
      </w:r>
      <w:r>
        <w:rPr>
          <w:rFonts w:ascii="Calibri" w:hAnsi="Calibri"/>
          <w:b w:val="0"/>
          <w:color w:val="3A4A28"/>
          <w:sz w:val="17"/>
        </w:rPr>
        <w:t>Esperion Reports Fourth Quarter and Full Year 2025 Financial Results and Q1 2026 10-Q Summary — Esperion Therapeutics, GlobeNewswire, TradingView, March-May 2026</w:t>
      </w:r>
    </w:p>
    <w:p>
      <w:pPr>
        <w:spacing w:before="20" w:after="20"/>
        <w:ind w:left="170"/>
      </w:pPr>
      <w:r>
        <w:rPr>
          <w:rFonts w:ascii="Calibri" w:hAnsi="Calibri"/>
          <w:b/>
          <w:color w:val="4A6B25"/>
          <w:sz w:val="15"/>
        </w:rPr>
        <w:t xml:space="preserve">3. </w:t>
      </w:r>
      <w:r>
        <w:rPr>
          <w:rFonts w:ascii="Calibri" w:hAnsi="Calibri"/>
          <w:b w:val="0"/>
          <w:color w:val="3A4A28"/>
          <w:sz w:val="17"/>
        </w:rPr>
        <w:t>Esperion Therapeutics and Corstasis Therapeutics Definitive Acquisition Agreement (Enbumyst) — Esperion Therapeutics press release, 2026</w:t>
      </w:r>
    </w:p>
    <w:p>
      <w:pPr>
        <w:spacing w:before="20" w:after="20"/>
        <w:ind w:left="170"/>
      </w:pPr>
      <w:r>
        <w:rPr>
          <w:rFonts w:ascii="Calibri" w:hAnsi="Calibri"/>
          <w:b/>
          <w:color w:val="4A6B25"/>
          <w:sz w:val="15"/>
        </w:rPr>
        <w:t xml:space="preserve">4. </w:t>
      </w:r>
      <w:r>
        <w:rPr>
          <w:rFonts w:ascii="Calibri" w:hAnsi="Calibri"/>
          <w:b w:val="0"/>
          <w:color w:val="3A4A28"/>
          <w:sz w:val="17"/>
        </w:rPr>
        <w:t>Esperion Therapeutics Leadership and Culture — Esperion.com leadership page, Authority Magazine (Sheldon Koenig), 2025-2026</w:t>
      </w:r>
    </w:p>
    <w:p>
      <w:pPr>
        <w:spacing w:before="20" w:after="20"/>
        <w:ind w:left="170"/>
      </w:pPr>
      <w:r>
        <w:rPr>
          <w:rFonts w:ascii="Calibri" w:hAnsi="Calibri"/>
          <w:b/>
          <w:color w:val="4A6B25"/>
          <w:sz w:val="15"/>
        </w:rPr>
        <w:t xml:space="preserve">5. </w:t>
      </w:r>
      <w:r>
        <w:rPr>
          <w:rFonts w:ascii="Calibri" w:hAnsi="Calibri"/>
          <w:b w:val="0"/>
          <w:color w:val="3A4A28"/>
          <w:sz w:val="17"/>
        </w:rPr>
        <w:t>Esperion Therapeutics Insider Transactions (Form 4 filings) — SEC EDGAR, TipRanks, MarketBeat, March-June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yfinance — ESPR key statistics: forward P/E 12.35x, price $3.18, avg volume ~14.5M shares,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