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ES</w:t>
      </w:r>
      <w:r>
        <w:rPr>
          <w:rFonts w:ascii="Calibri" w:hAnsi="Calibri"/>
          <w:b/>
          <w:color w:val="1A2010"/>
          <w:sz w:val="40"/>
        </w:rPr>
        <w:t xml:space="preserve">  Eversource Energy</w:t>
      </w:r>
    </w:p>
    <w:p>
      <w:pPr>
        <w:spacing w:after="120"/>
      </w:pPr>
      <w:r>
        <w:rPr>
          <w:rFonts w:ascii="Calibri" w:hAnsi="Calibri"/>
          <w:b/>
          <w:color w:val="6E8450"/>
          <w:sz w:val="18"/>
        </w:rPr>
        <w:t>DIVIDEND SLEEVE · 2026-09-06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Regulated Electric · NYSE · United States</w:t>
      </w:r>
    </w:p>
    <w:p>
      <w:pPr>
        <w:spacing w:after="80"/>
      </w:pPr>
      <w:r>
        <w:rPr>
          <w:rFonts w:ascii="Calibri" w:hAnsi="Calibri"/>
          <w:b w:val="0"/>
          <w:color w:val="3A4A28"/>
          <w:sz w:val="20"/>
        </w:rPr>
        <w:t>Eversource Energy is New England's largest energy delivery company, serving approximately 4.4 million electric, natural gas, and water customers across Connecticut, Massachusetts, and New Hampshire. Following the 2025 exit from offshore wind, Eversource is a pure-play regulated transmission and distribution utility with a $26.5 billion 2026-2030 capex plan focused on grid modernization and AI data-center load growth.</w:t>
      </w:r>
    </w:p>
    <w:p>
      <w:r>
        <w:rPr>
          <w:rFonts w:ascii="Calibri" w:hAnsi="Calibri"/>
          <w:b/>
          <w:color w:val="6E8450"/>
          <w:sz w:val="18"/>
        </w:rPr>
        <w:t>9,300 Employees · https://www.eversource.com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Eversource's most significant strategic pivot was the exit from offshore wind (completed 2025), removing a $2.4B capital sink and refocusing on core regulated operations [1]. The Aquarion water utility sale further simplifies the portfolio. Core regulated utility business model is structurally unchanged from five years ago. AI Deployment (2/2): Eversource has shipped AI-powered SmartInspect (Edison Award-winning grid monitoring), a digital-twin outage-prevention model that prevented 40,000 customer outages in proof of concept, and an AI-powered dynamic monitoring dashboard for high-pressure cable networks (2025 AEIC Achievement Award) [2]. Market Share (1/2): Eversource is New England's largest electric/gas utility with stable regulated monopoly footprint across three states, but service territory is fixed by regulation with no competitive share dynamics. Pipeline (1/2): $26.5B five-year capex plan (2026-2030) supporting 5-7% EPS growth through 2030, anchored in grid modernization and AI-driven data-center load growth [1]. R&amp;D Intensity (0/1): No disclosed R&amp;D spending above utility industry norms; innovation is project-based rather than structural.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Eversource's mission to 'safely deliver reliable energy and superior customer service' is clear but interchangeable with any regulated utility peer — it describes operational requirements rather than a deeper purpose [2]. Community Impact (2/2): Eversource Energy Foundation donates millions annually to STEM education, workforce development, and energy affordability programs across New England, with structured employee volunteerism programs and a carbon neutrality commitment for operations by 2030 [4]. The company earned industry-leading ESG and corporate responsibility recognitions. Employee Retention (0/2): CEO Joe Nolan has served since 2021 and COO Paul Chodak consolidated operations since November 2023, providing leadership stability. However, no specific retention or tenure data distinguishes Eversource from utility peers. Insider Buying (1/2): Executive team maintains meaningful equity holdings, but net insider transaction activity over the last 12 months has been balanced to slightly negative.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Eversource's post-wind-exit financials show steady improvement: TTM revenue of $14.0B (+7.8% YoY), Q1 2026 EPS of $1.61 (+7.3% YoY), and 2026 EPS guidance of $4.57-$4.72 targeting 5-7% long-term growth [1][2]. Forward P/E of 15.2 is attractive for a Dividend Aristocrat regulated monopoly. D/E of 181% remains elevated by utility standards, reflecting heavy capex financing, and ROE of 10.9% is below the 15% target but typical for the regulated sector [5]. The dividend franchise is the crown jewel: 27 consecutive years of growth, 4.43% yield, $3.15/share, 5.81% 5-year CAGR, and payout ratio of 81% on trailing earnings (closer to 67% on forward guidance) [3][5]. Liquidity passes easily: ~3.9M avg volume x $71 = ~$277M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Eversource plays the very long game implicit in century-old utility infrastructure, demonstrated by a 27-year dividend growth streak through multiple crises and a $26.5B decade-long capex plan. However, the company's functional mission lacks the transformative vision Sinek associates with infinite-minded organizations, the regulated monopoly structure limits competitive learning, and the offshore wind retreat tested and weakened its clean energy cause. Leadership shows pragmatic courage but not the bold forward-leaning pattern Sinek demands.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Eversource's stated mission of safely delivering reliable energy is a table-stakes regulatory requirement rather than a distinctive Just Cause. Clean energy aspirations (carbon neutrality 2030 for operations) are genuine but were tested by the offshore wind retreat — the company exited when the cause became expensive, absorbing $2.4B in losses [1]. The purpose reads as compliance and operational excellence rather than a vision of a better future that people sacrifice to advance.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Joe Nolan has provided leadership stability since 2021, COO Paul Chodak consolidated operations since November 2023, and the workforce is unionized with long average tenure typical of regulated utilities [3]. The company has invested in leadership development programs and emphasized culture initiatives. However, no evidence of exceptional trust practices or employee empowerment distinguishes Eversource from utility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Eversource does not meaningfully compete for customers and does not articulate worthy rivals whose strengths drive self-improvement. Competitive dynamics that matter — regulatory relationships in Connecticut, Massachusetts, and New Hampshire — are framed as adversarial (FERC ROE cuts, CT rate politics) rather than as learning opportunities [5].</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offshore wind exit and pivot to pure-play regulated utility demonstrates genuine strategic flexibility — taking $2.4B in losses to remove a failing initiative rather than doubling down [1]. The Aquarion water utility sale further reshapes the portfolio. The $26.5B capex plan redirected toward AI data-center load growth shows willingness to rebase strategy around secular demand shifts. However, the core business model (regulated T&amp;D utility) is fundamentally unchanged since the company's founding.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Nolan's decision to complete the offshore wind exit, absorb $2.4B in impairments, and face public criticism for abandoning clean energy demonstrated willingness to sacrifice reputation for financial discipline [1]. The board sustained 27 consecutive years of dividend growth through the offshore wind crisis, FERC ROE reductions, and COVID. However, the guidance revision (from $4.80-4.95 to $4.57-4.72) and conservative positioning suggest pragmatism rather than bold forward-leaning investment — one courageous decision rather than a pattern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Eversource Energy offers a defensive, income-oriented holding as New England's largest pure-play regulated utility post-offshore-wind exit. Q1 2026 EPS of $1.61 grew 7.3% YoY, and 2026 guidance of $4.57-$4.72 supports a 5-7% long-term EPS growth trajectory through 2030 [1][2]. The 4.43% dividend yield with 27 consecutive years of growth (Dividend Aristocrat) and a 5.81% 5-year dividend CAGR provides inflation-protected income. Forward P/E of 15.2 is reasonable for a regulated monopoly, and AI data-center electricity demand is a secular tailwind driving capex and rate base expansion under the $26.5B five-year plan [1]. AI-powered SmartInspect grid monitoring and digital-twin outage prevention (40,000 outages avoided in pilot) demonstrate operational innovation [2].</w:t>
      </w:r>
    </w:p>
    <w:p>
      <w:pPr>
        <w:spacing w:after="120"/>
      </w:pPr>
      <w:r>
        <w:rPr>
          <w:rFonts w:ascii="Calibri" w:hAnsi="Calibri"/>
          <w:b w:val="0"/>
          <w:color w:val="3A4A28"/>
          <w:sz w:val="20"/>
        </w:rPr>
        <w:t>The bear case centers on regulatory headwinds, balance sheet leverage, and margin pressure. FERC's reduction in allowed transmission base ROE forced 2026 EPS guidance down to $4.57-$4.72 from $4.80-$4.95, directly compressing near-term returns [5]. D/E of 181% finances the $26.5B capex plan in a higher-rate environment, with annual debt maturities creating refinancing risk. Profit margin of 10.4% is below the 20% target, reflecting the regulated utility model, and the trailing payout ratio of 81% leaves limited cushion — though forward-earnings coverage is closer to 67% [3][5]. The offshore wind exit, while pragmatic, cost $2.4B in write-downs and raises questions about management's capital allocation judgment. Connecticut rate politics remain adversarial and could pressure future rate-case outcomes.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data-center load growth across New England driving accelerated transmission capex and rate base expansion under the $26.5B 2026-2030 plan, with hyperscale buildout adding secular demand tailwind [1]</w:t>
      </w:r>
    </w:p>
    <w:p>
      <w:pPr>
        <w:spacing w:before="40" w:after="40"/>
        <w:ind w:left="283"/>
      </w:pPr>
      <w:r>
        <w:rPr>
          <w:rFonts w:ascii="Calibri" w:hAnsi="Calibri"/>
          <w:b/>
          <w:color w:val="4A6B25"/>
          <w:sz w:val="20"/>
        </w:rPr>
        <w:t xml:space="preserve">2. </w:t>
      </w:r>
      <w:r>
        <w:rPr>
          <w:rFonts w:ascii="Calibri" w:hAnsi="Calibri"/>
          <w:b w:val="0"/>
          <w:color w:val="3A4A28"/>
          <w:sz w:val="20"/>
        </w:rPr>
        <w:t>27-year dividend growth streak continuing with 5-7% EPS growth guidance through 2030, supporting a 4.43% yield with ~33% coverage cushion on forward earnings [3]</w:t>
      </w:r>
    </w:p>
    <w:p>
      <w:pPr>
        <w:spacing w:before="40" w:after="40"/>
        <w:ind w:left="283"/>
      </w:pPr>
      <w:r>
        <w:rPr>
          <w:rFonts w:ascii="Calibri" w:hAnsi="Calibri"/>
          <w:b/>
          <w:color w:val="4A6B25"/>
          <w:sz w:val="20"/>
        </w:rPr>
        <w:t xml:space="preserve">3. </w:t>
      </w:r>
      <w:r>
        <w:rPr>
          <w:rFonts w:ascii="Calibri" w:hAnsi="Calibri"/>
          <w:b w:val="0"/>
          <w:color w:val="3A4A28"/>
          <w:sz w:val="20"/>
        </w:rPr>
        <w:t>Post-divestiture deleveraging as proceeds from Aquarion Water sale reduce debt burden and improve credit metrics, potentially enabling balance sheet flexibility for incremental capital deployment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FERC allowed-ROE cut already forced 2026 EPS trim to $4.57-$4.72; further regulatory reductions would directly pressure the dividend growth trajectory and 5-7% long-term guidance [5]</w:t>
      </w:r>
    </w:p>
    <w:p>
      <w:pPr>
        <w:spacing w:before="40" w:after="40"/>
        <w:ind w:left="283"/>
      </w:pPr>
      <w:r>
        <w:rPr>
          <w:rFonts w:ascii="Calibri" w:hAnsi="Calibri"/>
          <w:b/>
          <w:color w:val="4A6B25"/>
          <w:sz w:val="20"/>
        </w:rPr>
        <w:t xml:space="preserve">2. </w:t>
      </w:r>
      <w:r>
        <w:rPr>
          <w:rFonts w:ascii="Calibri" w:hAnsi="Calibri"/>
          <w:b w:val="0"/>
          <w:color w:val="3A4A28"/>
          <w:sz w:val="20"/>
        </w:rPr>
        <w:t>D/E of 181% finances heavy capex in a rising-rate environment — interest expense growth competes with dividend coverage, and trailing payout ratio of 81% leaves limited earnings cushion [5]</w:t>
      </w:r>
    </w:p>
    <w:p>
      <w:pPr>
        <w:spacing w:before="40" w:after="40"/>
        <w:ind w:left="283"/>
      </w:pPr>
      <w:r>
        <w:rPr>
          <w:rFonts w:ascii="Calibri" w:hAnsi="Calibri"/>
          <w:b/>
          <w:color w:val="4A6B25"/>
          <w:sz w:val="20"/>
        </w:rPr>
        <w:t xml:space="preserve">3. </w:t>
      </w:r>
      <w:r>
        <w:rPr>
          <w:rFonts w:ascii="Calibri" w:hAnsi="Calibri"/>
          <w:b w:val="0"/>
          <w:color w:val="3A4A28"/>
          <w:sz w:val="20"/>
        </w:rPr>
        <w:t>Connecticut rate politics and residual offshore wind liability create ongoing regulatory and legal uncertainty that caps the stock's multiple relative to utility peers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Eversource is structurally immune to AI disruption and is an active AI beneficiary. Regulated electric and gas utilities cannot be replaced by software — physical poles, wires, transformers, substations, and gas pipelines require real-world infrastructure that AI cannot substitute [2]. Analysts universally view AI data-center load growth as a multi-decade tailwind for transmission and distribution utilities, and New England buildout for hyperscale data centers is a core thesis driver for Eversource's $26.5B capex plan [1]. AI also powers Eversource's own SmartInspect grid analytics, digital-twin outage prevention (40,000 outages avoided in pilot), and cable network monitoring systems [2]. AI Opportunity (0/1): Eversource deploys AI internally for grid reliability and cost reduction but does not generate meaningful external AI revenue — AI is a cost/reliability efficiency tool, not a product line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Eversource Energy Q1 2026 Earnings Release — Revenue $4.504B, EPS $1.61 (+7.3% YoY), 2026 Guidance $4.57-$4.72, May 2026</w:t>
      </w:r>
    </w:p>
    <w:p>
      <w:pPr>
        <w:spacing w:before="20" w:after="20"/>
        <w:ind w:left="170"/>
      </w:pPr>
      <w:r>
        <w:rPr>
          <w:rFonts w:ascii="Calibri" w:hAnsi="Calibri"/>
          <w:b/>
          <w:color w:val="4A6B25"/>
          <w:sz w:val="15"/>
        </w:rPr>
        <w:t xml:space="preserve">2. </w:t>
      </w:r>
      <w:r>
        <w:rPr>
          <w:rFonts w:ascii="Calibri" w:hAnsi="Calibri"/>
          <w:b w:val="0"/>
          <w:color w:val="3A4A28"/>
          <w:sz w:val="17"/>
        </w:rPr>
        <w:t>Eversource Energy AI Innovation — SmartInspect Grid Monitoring, Digital-Twin Outage Prevention (40K outages avoided), AEIC AI Dashboard Award, 2024-2026</w:t>
      </w:r>
    </w:p>
    <w:p>
      <w:pPr>
        <w:spacing w:before="20" w:after="20"/>
        <w:ind w:left="170"/>
      </w:pPr>
      <w:r>
        <w:rPr>
          <w:rFonts w:ascii="Calibri" w:hAnsi="Calibri"/>
          <w:b/>
          <w:color w:val="4A6B25"/>
          <w:sz w:val="15"/>
        </w:rPr>
        <w:t xml:space="preserve">3. </w:t>
      </w:r>
      <w:r>
        <w:rPr>
          <w:rFonts w:ascii="Calibri" w:hAnsi="Calibri"/>
          <w:b w:val="0"/>
          <w:color w:val="3A4A28"/>
          <w:sz w:val="17"/>
        </w:rPr>
        <w:t>Eversource Dividend History — 27 Consecutive Years Growth, $3.15/share, 4.43% Yield, 5.81% 5yr CAGR, StockAnalysis / Sure Dividend,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Eversource Energy Sustainability &amp; Community — Carbon Neutrality 2030 Commitment, Foundation Programs, ESG Reporting, Eversource.com,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ES $71.00, PE 18.32, Forward PE 15.21, D/E 181%, ROE 10.91%,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