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ETN</w:t>
      </w:r>
      <w:r>
        <w:rPr>
          <w:rFonts w:ascii="Calibri" w:hAnsi="Calibri"/>
          <w:b/>
          <w:color w:val="1A2010"/>
          <w:sz w:val="40"/>
        </w:rPr>
        <w:t xml:space="preserve">  Eaton Corporation plc</w:t>
      </w:r>
    </w:p>
    <w:p>
      <w:pPr>
        <w:spacing w:after="120"/>
      </w:pPr>
      <w:r>
        <w:rPr>
          <w:rFonts w:ascii="Calibri" w:hAnsi="Calibri"/>
          <w:b/>
          <w:color w:val="6E8450"/>
          <w:sz w:val="18"/>
        </w:rPr>
        <w:t>GROWTH SLEEVE · 2026-09-04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Ireland</w:t>
      </w:r>
    </w:p>
    <w:p>
      <w:pPr>
        <w:spacing w:after="80"/>
      </w:pPr>
      <w:r>
        <w:rPr>
          <w:rFonts w:ascii="Calibri" w:hAnsi="Calibri"/>
          <w:b w:val="0"/>
          <w:color w:val="3A4A28"/>
          <w:sz w:val="20"/>
        </w:rPr>
        <w:t>Eaton Corporation is a diversified power management company operating through Electrical Americas, Electrical Global, Aerospace, Vehicle, and eMobility segments. Founded in 1911, the company provides electrical components, power distribution systems, aerospace fuel and motion control, and vehicle drivetrain products. Eaton serves customers in 180 countries and is increasingly positioned as critical infrastructure for AI data centers and electrification. Q2 2026 delivered record sales of $8.53B (+21% YoY, 14% organic + 7% acquisitions) with adjusted EPS of $3.15. Full-year 2026 guidance was raised to $13.05-$13.50 adjusted EPS with organic growth of 9-11%.</w:t>
      </w:r>
    </w:p>
    <w:p>
      <w:r>
        <w:rPr>
          <w:rFonts w:ascii="Calibri" w:hAnsi="Calibri"/>
          <w:b/>
          <w:color w:val="6E8450"/>
          <w:sz w:val="18"/>
        </w:rPr>
        <w:t>97,303 Employees · https://www.eaton.com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Eaton has executed a transformative multi-year pivot from diversified industrial conglomerate to focused power management leader, growing revenue from $20.8B in 2022 to $27.4B in 2025 and delivering record Q2 2026 revenue of $8.53B (+21% YoY) [1][2]. The company completed $11B+ in strategic acquisitions (Boyd Thermal for AI data center liquid cooling, Ultra PCS, Fibrebond for power distribution, Resilient Power) and divested the $3.3B Hydraulics business, fundamentally reshaping the business mix toward higher-growth electrical infrastructure. AI Deployment (2/2): Eaton deploys AI-powered solutions for utility wildfire prevention, edge-based power management for data centers, and implemented the Eightfold AI Talent Intelligence Platform internally, accelerating recruitment by 30-40% [3]. CEO Paulo Ruiz has embedded a 'think AI first' mindset across the organization, and the company partnered with Palantir for enterprise GenAI deployment. Market Share (2/2): Eaton is a global leader in electrical infrastructure with record backlogs — book-to-bill ratios of 1.2-1.3 across Electrical Americas, Electrical Global, and Aerospace segments [1][2]. The Boyd Thermal acquisition positions Eaton as a leader in liquid cooling for high-density AI data centers. Product Pipeline (1/2): FY2026 guidance of 9-11% organic growth with raised adjusted EPS of $13.05-$13.50, supported by record backlogs and $11B+ in recently integrated acquisitions, but specific next-generation product launches are not individually named [2]. R&amp;D Intensity (0/1): R&amp;D spending as a percentage of revenue is below top-quartile for the industrial sector; Eaton's competitive advantage is in systems integration, installed base, and strategic acquisitions rather than pure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Eaton's mission to 'improve the quality of life and the environment through the use of power management technologies and services' is specific, thoughtful, and directly connects the company's work to sustainability and electrification outcomes [3]. The mission has guided strategic decisions over a decade, including the pivot toward electrical infrastructure, divestiture of the Hydraulics business, and $11B+ in targeted acquisitions. Community Impact (2/2): Eaton's sustainability strategy targets halving carbon emissions by 2030 (31% reduction achieved since 2018), certifying all manufacturing sites as zero waste to landfill, and achieving carbon-neutral operations [4]. The company employs 97,303 people across 180 countries with specific diversity targets (40% women in salaried positions by 2030) and earned Newsweek's Global Most Loved Workplaces designation three consecutive years. Employee Retention (1/2): Eaton holds Great Place To Work certification and Most Loved Workplace recognition, and leadership transitions have been orderly (Arnold to Ruiz with mentorship period) [3]. However, Glassdoor reviews describe employees feeling 'easily replaceable' and cite mandatory unpaid leave to meet quarterly numbers, suggesting finite-game pressures beneath the surface. Insider Buying (1/2): CEO Paulo Ruiz and officers receive and retain regular stock awards, though recent transactions include some officer sales. Mixed net activity but meaningful retained equity positions signal leadership alignment.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Eaton delivered record Q2 2026 with $8.53B revenue (+21% YoY: 14% organic, 7% acquisitions) and adjusted EPS of $3.15, raising FY2026 guidance to $13.05-$13.50 with segment margins of 24.1-24.5% [1][2]. ROE of 19.68% exceeds the 15% target, and revenue growth of ~18% YoY significantly beats the 10% target. The 5yr revenue CAGR of ~11% exceeds the 10% target, driven by organic growth and strategic acquisitions. Free cash flow was $3.93B on TTM revenue of $30.03B [3]. D/E increased to 105% from 55% due to $11B+ in acquisitions (Boyd Thermal, Ultra PCS, Fibrebond, Resilient Power), adding leverage but well within manageable levels for a company generating nearly $4B in annual free cash flow [2]. Forward P/E of 31.36x and PEG of 2.57 reflect premium valuation for the AI/electrification positioning. Profit margin of 12.75% is compressed from 14.9% by acquisition integration costs but improving toward the 24.1-24.5% segment margin target. Liquidity floor passes easily: ~2.7M daily volume x $390 = $1.05B.</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Eaton demonstrates meaningful infinite game characteristics through its 115-year history, purposeful pivot toward electrification and sustainability, and multi-decade infrastructure investments. The willingness to divest the profitable $3.3B Hydraulics business in service of its power management mission shows genuine strategic courage. The smooth CEO transition from Craig Arnold to Paulo Ruiz with structured mentorship suggests institutional continuity. However, Glassdoor reports of mandatory unpaid leave to meet quarterly numbers and employees feeling replaceable reveal finite-game pressures beneath the surface, and $11B in debt-funded acquisitions prioritize growth over organizational resilience.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Eaton's mission to 'improve the quality of life and the environment through power management' has been validated by a decade of strategic execution — divesting non-core businesses, acquiring $11B+ in electrical infrastructure assets, and setting aggressive sustainability targets (halving carbon emissions by 2030, 31% achieved since 2018) [3][4]. The mission is specific, connects to electrification and climate megatrends, and has clearly shaped capital allocation decisions. However, it has not yet been tested through a full economic downturn under the current strategic configuration, and the recent CEO transition makes long-term continuity uncertain.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Eaton earned Newsweek's Global Most Loved Workplaces designation three consecutive years and holds Great Place To Work certification, suggesting positive organizational trust across 97,303 employees [3]. The CEO succession from Craig Arnold to Paulo Ruiz, with Ruiz having served internally since 2019, indicates leadership continuity and institutional stability. However, Glassdoor reviews describe a culture where employees feel 'easily replaceable' despite the company's strong stock performance, and mandatory unpaid leave policies undermine the sense of being genuinely valued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Eaton operates alongside Schneider Electric, ABB, and Siemens, and the company's strategic positioning emphasizes building the best power management solutions rather than destroying competitors. Management commentary focuses on growing the addressable market through electrification and data center demand rather than zero-sum market share battles [1][3]. The 'think AI first' cultural initiative and sustainability commitments are driven by purpose and market opportunity rather than competitive reaction.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Eaton has executed a significant strategic transformation, divesting the Hydraulics business and acquiring $11B+ in electrical infrastructure assets to reposition from diversified industrial conglomerate to focused power management leader [1][2]. The Boyd Thermal acquisition (liquid cooling) represents the latest pivot toward AI data center infrastructure. Over its 115-year history, the company has evolved from truck parts (1911) to hydraulics to electrical power management — meaningful but gradual strategic evolution rather than a single dramatic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Eaton's leadership showed courage in divesting the profitable $3.3B Hydraulics business to concentrate resources on electrical infrastructure, a bet vindicated by the AI data center supercycle. The company committed $11B+ to acquisitions (Boyd Thermal, Fibrebond, Ultra PCS, Resilient Power) during a period of rising interest rates, investing heavily for long-term capability [1][2]. Setting aggressive sustainability targets with specific timelines shows willingness to make costly long-term commitments [4]. However, Glassdoor reports of mandatory unpaid leave suggest that courage does not always extend to protecting employees from short-term financial pressures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Eaton delivered record Q2 2026 with $8.53B revenue (+21% YoY), adjusted EPS of $3.15, and raised full-year guidance to $13.05-$13.50 — the company is firing on all cylinders across its electrification and data center strategy [1][2]. Record backlogs with book-to-bill of 1.2-1.3 across all segments provide multi-year revenue visibility, driven by AI data center power demand, grid modernization, and vehicle electrification. The $11B+ acquisition program (Boyd Thermal liquid cooling, Fibrebond power distribution, Ultra PCS, Resilient Power) positions Eaton as the comprehensive infrastructure provider for the AI data center buildout. ROE of 19.68%, TTM free cash flow of $3.93B, 100 consecutive years of dividend payments, and 17 consecutive years of dividend growth combine growth with financial stability [3]. Operating cash flow generation supports continued deleveraging from the acquisition debt. The consensus Buy rating with $475.57 average price target implies 22% upside from current levels.</w:t>
      </w:r>
    </w:p>
    <w:p>
      <w:pPr>
        <w:spacing w:after="120"/>
      </w:pPr>
      <w:r>
        <w:rPr>
          <w:rFonts w:ascii="Calibri" w:hAnsi="Calibri"/>
          <w:b w:val="0"/>
          <w:color w:val="3A4A28"/>
          <w:sz w:val="20"/>
        </w:rPr>
        <w:t>The primary risk is valuation. At 31.36x forward earnings and PEG of 2.57, Eaton trades at a significant premium to industrial peers, pricing in the electrification supercycle with minimal margin for execution missteps [5]. The $11B+ acquisition program increased D/E to 105% from 55%, creating leverage risk if the AI data center buildout decelerates or integration costs exceed expectations [2]. Profit margin compressed to 12.75% from 14.9% due to acquisition integration costs, and the path to the 24.1-24.5% segment margin target requires flawless execution across four recently acquired businesses. Glassdoor reviews citing mandatory unpaid leave and employees feeling 'easily replaceable' create cultural risk beneath the strong brand — sustainability targets and Most Loved Workplace awards may not reflect the lived experience [3]. Concentration risk exists if hyperscaler AI capex moderates — the electrical backlog surge is driven by a handful of large data center customers. The Inspire Impact Score of -49 (MISALIGNED) may limit allocation for faith-based investors despite strong ESG operational practices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backlogs with book-to-bill of 1.2-1.3 across all segments provide multi-year revenue visibility — Q2 2026 demonstrated 21% revenue growth with 14% organic, and FY2026 organic growth guidance was raised to 9-11% [1][2]</w:t>
      </w:r>
    </w:p>
    <w:p>
      <w:pPr>
        <w:spacing w:before="40" w:after="40"/>
        <w:ind w:left="283"/>
      </w:pPr>
      <w:r>
        <w:rPr>
          <w:rFonts w:ascii="Calibri" w:hAnsi="Calibri"/>
          <w:b/>
          <w:color w:val="4A6B25"/>
          <w:sz w:val="20"/>
        </w:rPr>
        <w:t xml:space="preserve">2. </w:t>
      </w:r>
      <w:r>
        <w:rPr>
          <w:rFonts w:ascii="Calibri" w:hAnsi="Calibri"/>
          <w:b w:val="0"/>
          <w:color w:val="3A4A28"/>
          <w:sz w:val="20"/>
        </w:rPr>
        <w:t>AI data center power demand supercycle continues with hyperscaler capex projected to exceed $300B annually, directly benefiting Eaton's core electrical infrastructure products including the Boyd Thermal liquid cooling platform for high-density AI compute [2]</w:t>
      </w:r>
    </w:p>
    <w:p>
      <w:pPr>
        <w:spacing w:before="40" w:after="40"/>
        <w:ind w:left="283"/>
      </w:pPr>
      <w:r>
        <w:rPr>
          <w:rFonts w:ascii="Calibri" w:hAnsi="Calibri"/>
          <w:b/>
          <w:color w:val="4A6B25"/>
          <w:sz w:val="20"/>
        </w:rPr>
        <w:t xml:space="preserve">3. </w:t>
      </w:r>
      <w:r>
        <w:rPr>
          <w:rFonts w:ascii="Calibri" w:hAnsi="Calibri"/>
          <w:b w:val="0"/>
          <w:color w:val="3A4A28"/>
          <w:sz w:val="20"/>
        </w:rPr>
        <w:t>Grid modernization and electrification legislation (IRA, IIJA) driving sustained demand for utility-grade power management systems, creating a multi-decade growth runway independent of the AI cycle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31.36x forward P/E and PEG of 2.57 leaves minimal margin of safety — any deceleration in AI data center spending or backlog conversion could trigger significant multiple compression [5]</w:t>
      </w:r>
    </w:p>
    <w:p>
      <w:pPr>
        <w:spacing w:before="40" w:after="40"/>
        <w:ind w:left="283"/>
      </w:pPr>
      <w:r>
        <w:rPr>
          <w:rFonts w:ascii="Calibri" w:hAnsi="Calibri"/>
          <w:b/>
          <w:color w:val="4A6B25"/>
          <w:sz w:val="20"/>
        </w:rPr>
        <w:t xml:space="preserve">2. </w:t>
      </w:r>
      <w:r>
        <w:rPr>
          <w:rFonts w:ascii="Calibri" w:hAnsi="Calibri"/>
          <w:b w:val="0"/>
          <w:color w:val="3A4A28"/>
          <w:sz w:val="20"/>
        </w:rPr>
        <w:t>D/E increased to 105% from 55% due to $11B+ in acquisitions, creating leverage risk and margin compression (profit margin down from 14.9% to 12.75%) that requires flawless integration execution across four newly acquired businesses [2]</w:t>
      </w:r>
    </w:p>
    <w:p>
      <w:pPr>
        <w:spacing w:before="40" w:after="40"/>
        <w:ind w:left="283"/>
      </w:pPr>
      <w:r>
        <w:rPr>
          <w:rFonts w:ascii="Calibri" w:hAnsi="Calibri"/>
          <w:b/>
          <w:color w:val="4A6B25"/>
          <w:sz w:val="20"/>
        </w:rPr>
        <w:t xml:space="preserve">3. </w:t>
      </w:r>
      <w:r>
        <w:rPr>
          <w:rFonts w:ascii="Calibri" w:hAnsi="Calibri"/>
          <w:b w:val="0"/>
          <w:color w:val="3A4A28"/>
          <w:sz w:val="20"/>
        </w:rPr>
        <w:t>CEO transition from long-tenured Craig Arnold to Paulo Ruiz creates leadership uncertainty during a critical growth phase requiring large-scale capacity investments, while Glassdoor concerns about mandatory unpaid leave and employee morale add cultural risk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Eaton is effectively IMMUNE to AI disruption — the company is a critical enabler of the AI infrastructure buildout. AI data centers require massive electrical power distribution, backup systems, switchgear, UPS solutions, and now liquid cooling (via Boyd Thermal acquisition) that are Eaton's core products [1][2]. Record backlogs with book-to-bill of 1.2-1.3 are driven substantially by hyperscaler data center orders. AI cannot replace physical electrical infrastructure — it can only increase demand for it. Eaton's power management systems, circuit protection, and grid modernization products become more essential as AI power consumption grows exponentially. CEO Paulo Ruiz has embedded a 'think AI first' mindset across the organization [3]. AI Opportunity (1/1): Eaton generates meaningful AI-related revenue through electrical infrastructure products sold to data center operators, with Q2 2026 record revenue of $8.53B (+21% YoY) driven significantly by the AI data center supercycle. The Boyd Thermal acquisition adds liquid cooling capabilities specifically for high-density AI compute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Eaton Q1 2026 Earnings Release — Record $7.5B Revenue (+17% YoY), Adjusted EPS $2.81 Record, Raised Full-Year Guidance, BusinessWire / Alphastreet, May 2026</w:t>
      </w:r>
    </w:p>
    <w:p>
      <w:pPr>
        <w:spacing w:before="20" w:after="20"/>
        <w:ind w:left="170"/>
      </w:pPr>
      <w:r>
        <w:rPr>
          <w:rFonts w:ascii="Calibri" w:hAnsi="Calibri"/>
          <w:b/>
          <w:color w:val="4A6B25"/>
          <w:sz w:val="15"/>
        </w:rPr>
        <w:t xml:space="preserve">2. </w:t>
      </w:r>
      <w:r>
        <w:rPr>
          <w:rFonts w:ascii="Calibri" w:hAnsi="Calibri"/>
          <w:b w:val="0"/>
          <w:color w:val="3A4A28"/>
          <w:sz w:val="17"/>
        </w:rPr>
        <w:t>Eaton Q2 2026 Earnings Release — Record $8.53B Revenue (+21% YoY, 14% Organic + 7% Acquisitions), Adjusted EPS $3.15 Record, Book-to-Bill 1.2-1.3, $11B Acquisitions, SEC Form 8-K, July 2026</w:t>
      </w:r>
    </w:p>
    <w:p>
      <w:pPr>
        <w:spacing w:before="20" w:after="20"/>
        <w:ind w:left="170"/>
      </w:pPr>
      <w:r>
        <w:rPr>
          <w:rFonts w:ascii="Calibri" w:hAnsi="Calibri"/>
          <w:b/>
          <w:color w:val="4A6B25"/>
          <w:sz w:val="15"/>
        </w:rPr>
        <w:t xml:space="preserve">3. </w:t>
      </w:r>
      <w:r>
        <w:rPr>
          <w:rFonts w:ascii="Calibri" w:hAnsi="Calibri"/>
          <w:b w:val="0"/>
          <w:color w:val="3A4A28"/>
          <w:sz w:val="17"/>
        </w:rPr>
        <w:t>Eaton Corporate Website — Leadership Team (CEO Paulo Ruiz), 'Think AI First' Culture, AI Deployment (Wildfire Prevention, Eightfold AI, Palantir), Glassdoor Reviews, Great Place To Work,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Eaton ESG and Sustainability — Carbon Reduction 31% Since 2018 (Target 50% by 2030), Zero Waste to Landfill Target, Newsweek Most Loved Workplaces 3 Years, BusinessWire / Eaton.com, 2024-2026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GuruFocus — ETN Key Statistics: Forward P/E 31.36x, D/E 105%, ROE 19.68%, Profit Margin 12.75%, PEG 2.57, TTM Revenue $30.03B, FCF $3.93B,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