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EXE</w:t>
      </w:r>
      <w:r>
        <w:rPr>
          <w:rFonts w:ascii="Calibri" w:hAnsi="Calibri"/>
          <w:b/>
          <w:color w:val="1A2010"/>
          <w:sz w:val="40"/>
        </w:rPr>
        <w:t xml:space="preserve">  Expand Energy Corporation</w:t>
      </w:r>
    </w:p>
    <w:p>
      <w:pPr>
        <w:spacing w:after="120"/>
      </w:pPr>
      <w:r>
        <w:rPr>
          <w:rFonts w:ascii="Calibri" w:hAnsi="Calibri"/>
          <w:b/>
          <w:color w:val="6E8450"/>
          <w:sz w:val="18"/>
        </w:rPr>
        <w:t>DIVIDEND SLEEVE · 2026-08-31 · Inspire: 36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Exploration &amp; Production · NASDAQ · United States</w:t>
      </w:r>
    </w:p>
    <w:p>
      <w:pPr>
        <w:spacing w:after="80"/>
      </w:pPr>
      <w:r>
        <w:rPr>
          <w:rFonts w:ascii="Calibri" w:hAnsi="Calibri"/>
          <w:b w:val="0"/>
          <w:color w:val="3A4A28"/>
          <w:sz w:val="20"/>
        </w:rPr>
        <w:t>Expand Energy Corporation is the largest independent natural gas producer in the United States, based on net daily production of approximately 7.5 Bcfe/d. The company was formed in October 2024 through the merger of Chesapeake Energy Corporation and Southwestern Energy Company, with core positions in the Haynesville and Appalachian basins and an integrated marketing and commercial business. CEO Nick Dell'Osso was fired by the board in February 2026, replaced by interim CEO Michael Wichterich (chairman) while the board searches for a permanent CEO. The company is relocating headquarters to Houston. Q2 2026 revenue of $2.96B (+5.4% YoY) with $1B buyback authorization and $1.3B debt reduction. Market cap of $22.7B.</w:t>
      </w:r>
    </w:p>
    <w:p>
      <w:r>
        <w:rPr>
          <w:rFonts w:ascii="Calibri" w:hAnsi="Calibri"/>
          <w:b/>
          <w:color w:val="6E8450"/>
          <w:sz w:val="18"/>
        </w:rPr>
        <w:t>1,600 Employees · https://www.expandenergy.com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The October 2024 merger of Chesapeake Energy and Southwestern Energy was a transformative business model transformation, creating the largest independent natural gas producer in the U.S. from two separate companies [1][2]. This $7.4B all-stock deal fundamentally reshaped the company's competitive position and scale. The execution of a 20-year LNG offtake agreement with Delfin FLNG positions Expand Energy for the growing global LNG market [3]. However, the core business remains natural gas production without a true product pivot. AI Deployment (0/2): No AI-powered products shipping and no AI-driven cost savings or revenue quantified. The company is an indirect AI beneficiary (data center power demand) but does not deploy AI technology in its operations beyond standard industry automation [2]. Market Share (2/2): Expand Energy is the largest independent natural gas producer in the U.S. with ~7.5 Bcfe/d net daily production — a dominant, category-leading position created through the Chesapeake-Southwestern merger [1][2]. Product Pipeline (1/2): The company is targeting ~7.5 Bcfe/d production for 2026 with exposure to growing AI data center demand and LNG export markets. The Delfin LNG deal provides long-term revenue visibility [3]. However, natural gas is a commodity without specific product launches. R&amp;D Intensity (0/1): E&amp;P companies do not have traditional R&amp;D spending comparable to technology or healthcare peers. No evidence of above-average innovation investment relative to energy sector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Expand Energy's mission — 'to deliver the energy the world needs affordably, reliably and responsibly' — is clear but generic, interchangeable with many energy companies (ExxonMobil, ConocoPhillips, Devon all have similar statements) [3]. The company's core values (Stewardship, Character, Collaborate, Learn, Disrupt) are more distinctive and suggest intentional culture building, but the mission itself doesn't articulate why this company exists beyond producing a commodity. The net zero by 2035 commitment and RSG certification add specificity, but the purpose doesn't inspire beyond the obvious. Community Impact (0/2): No evidence found of significant charitable programs, foundation, or community investment beyond standard industry community engagement. The inaugural sustainability report was released in July 2025 but focused on environmental metrics rather than community philanthropy [3]. Employee Retention (0/2): The CEO (Dell'Osso) was fired by the board in February 2026, just 16 months after leading the transformative Chesapeake-Southwestern merger, replaced by interim CEO Michael Wichterich (the chairman) while a permanent CEO search is underway [2][5]. Dell'Osso subsequently became CEO of competitor Gulfport Energy in May 2026. With 1,600 employees and headquarters relocating from Oklahoma City to Houston, the organization faces significant disruption. Insider Buying (0/2): No evidence of meaningful insider buying. The CEO firing and headquarters relocation raise questions about insider conviction and organizational stability.</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Dividend metrics. D/E of 27% is well below the 70% target, supported by significant debt reduction of $1.3B in Q2 2026 [5]. ROE of 10.07% is below the 15% target (score 0.67), reflecting declining profitability as natural gas prices normalized from Q1 2026 peaks [1]. Profit margin of 15.63% is below the 20% target (score 0.78). Revenue growth of 5.4% YoY (Q2 2026 comparable basis) is below the 10% target but positive [5]. Forward P/E of 10.94 is well below the 20 target. Dividend metrics are mixed: payout ratio of 23.7% is conservative (score 1.0), 5-year dividend growth CAGR of 7.59% exceeds the 6% target (score 1.0, 2x weight), and yield of 2.34% provides income [4]. The main weaknesses are limited dividend track record — consecutive years paid at 5 (score 0.5, 2x weight) and consecutive years growth at 3 (score 0.3) — reflecting the Chesapeake bankruptcy history (2020). Revenue growth 5yr CAGR unavailable due to merger. The stock clears the liquidity floor with ~$331M in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Expand Energy is a fundamentally finite player in Sinek's framework. The company was formed through a financial merger optimized for scale and cost efficiencies, not through a purpose-driven founding. Its CEO departed 16 months after the merger, replaced by an interim chairman-CEO. Natural gas production is inherently a resource extraction business with a finite time horizon as energy transition progresses. The company's competitive language centers on being 'the largest' and maximizing shareholder returns through dividends and buybacks — classic finite game metrics. The net zero 2035 commitment and RSG certification show some forward thinking, but the fundamental orientation is toward winning this quarter's production and cost targets.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'Deliver the energy the world needs affordably, reliably and responsibly' is utilitarian but lacks the inspirational quality of a Just Cause that people would sacrifice to advance [3]. The company was formed through a financial merger (not a purpose-driven founding), and its core value proposition is producing a commodity at scale. The net zero by 2035 commitment and 100% RSG certification add some purpose beyond profit, and the 'Disrupt' core value (challenge the status quo) suggests aspiration. However, the company's primary strategic narrative centers on shareholder returns, scale, and cost efficiency — classic finite game language.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CEO (Nick Dell'Osso) was fired by the board in February 2026, just 16 months after leading the transformative Chesapeake-Southwestern merger, replaced by interim CEO Michael Wichterich (the chairman) while a permanent CEO search proceeds [2][5]. Dell'Osso subsequently joined competitor Gulfport Energy as CEO in May 2026, suggesting the departure was acrimonious. The headquarters relocation from Oklahoma City to Houston adds further organizational disruption. The merger of two corporate cultures (Chesapeake and Southwestern) is inherently disruptive, and the CEO firing so soon after completion signals significant internal friction at the board level. With 1,600 employees across large-scale operations and no permanent CEO, organizational trust is under significant strain.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that Expand Energy adopts an infinite competitive mindset. The company's positioning centers on being 'the largest independent natural gas producer' — language focused on scale dominance rather than self-improvement [2][3]. Natural gas production is a commodity business where competition is primarily on cost and scale, making competitive dynamics inherently zero-sum. No management commentary was found referencing learning from competitors like EQT, Coterra, or other peers.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Chesapeake Energy bankruptcy (2020) and emergence (2021), followed by the transformative Southwestern merger (2024), represent significant business reinvention. Chesapeake went from a near-death overleveraged driller to the foundation of the largest independent gas producer in the U.S. [2]. The pivot from pure exploration to an integrated model with LNG export exposure (Delfin deal) is a meaningful strategic evolution. However, these pivots were driven by financial necessity (bankruptcy) and scale economics (merger) rather than by a purpose — they represent survival and optimization, not existential flexibility in service of a Just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$7.4B Chesapeake-Southwestern merger was a bold strategic bet to create category-defining scale in natural gas production [2]. The 20-year LNG offtake agreement with Delfin demonstrates willingness to commit capital to long-term markets. The net zero by 2035 commitment is ambitious for a fossil fuel producer. However, the CEO departure just 16 months after the merger, and the reliance on commodity price tailwinds rather than proactive strategic investment, limit the score. The company's $1.7B quarterly free cash flow is primarily directed toward dividends and buybacks rather than transformative long-term bets.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Expand Energy is the largest independent natural gas producer in the U.S. at a time when natural gas demand is surging from three converging tailwinds: AI data center power generation, industrial demand growth, and global LNG exports [1][2]. Q2 2026 delivered $2.96B revenue (+5.4% YoY) with non-GAAP EPS of $1.33, beating consensus by 19.1%, while authorizing a new $1B buyback and reducing debt by $1.3B [5]. The balance sheet is strong: D/E of 27%, and the 2.34% dividend yield is covered at just 23.7% payout ratio with 7.6% 5-year dividend growth CAGR. At 8.47x trailing PE and 10.94x forward PE, the stock is priced at a significant discount to the broader market, reflecting commodity-cycle risk but potentially undervaluing the structural demand story. Analyst consensus is bullish with a $125 average price target (28% upside), with Goldman Sachs recently raising its target to $113 and Truist to $133 [4]. The 20-year Delfin LNG offtake agreement provides long-term revenue visibility beyond spot gas prices.</w:t>
      </w:r>
    </w:p>
    <w:p>
      <w:pPr>
        <w:spacing w:after="120"/>
      </w:pPr>
      <w:r>
        <w:rPr>
          <w:rFonts w:ascii="Calibri" w:hAnsi="Calibri"/>
          <w:b w:val="0"/>
          <w:color w:val="3A4A28"/>
          <w:sz w:val="20"/>
        </w:rPr>
        <w:t>The bear case centers on commodity price risk, leadership instability, and declining profitability metrics. ROE has fallen to 10.07% (from 16.5% earlier in 2026) and profit margin to 15.63% (from 24.9%), reflecting natural gas price normalization from Q1 peaks [5]. CEO Dell'Osso was fired by the board just 16 months after the transformative merger, replaced by interim CEO Wichterich while a permanent CEO search is underway — Dell'Osso subsequently joined competitor Gulfport Energy, suggesting the departure was acrimonious [2][5]. The headquarters relocation from Oklahoma City to Houston adds organizational disruption. The Chesapeake bankruptcy legacy (2020) means the dividend track record is short (5 consecutive years) and untested through a sustained gas price downturn. At $22.7B market cap, the stock is 23% below its 52-week high of $126.62. The energy transition poses a long-term structural risk to natural gas demand, though the timeline is extended by AI data center power needs. The Inspire Impact Score of 36 (ALIGNED) is a positive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data center power demand driving structural increase in natural gas consumption — hyperscaler electricity needs are growing 20-30%+ annually, with natural gas as the primary reliable baseload power source for new data center construction</w:t>
      </w:r>
    </w:p>
    <w:p>
      <w:pPr>
        <w:spacing w:before="40" w:after="40"/>
        <w:ind w:left="283"/>
      </w:pPr>
      <w:r>
        <w:rPr>
          <w:rFonts w:ascii="Calibri" w:hAnsi="Calibri"/>
          <w:b/>
          <w:color w:val="4A6B25"/>
          <w:sz w:val="20"/>
        </w:rPr>
        <w:t xml:space="preserve">2. </w:t>
      </w:r>
      <w:r>
        <w:rPr>
          <w:rFonts w:ascii="Calibri" w:hAnsi="Calibri"/>
          <w:b w:val="0"/>
          <w:color w:val="3A4A28"/>
          <w:sz w:val="20"/>
        </w:rPr>
        <w:t>LNG export capacity expansion (Delfin FLNG 20-year offtake agreement) providing long-term revenue visibility and exposure to premium international gas pricing, diversifying away from Henry Hub spot market risk</w:t>
      </w:r>
    </w:p>
    <w:p>
      <w:pPr>
        <w:spacing w:before="40" w:after="40"/>
        <w:ind w:left="283"/>
      </w:pPr>
      <w:r>
        <w:rPr>
          <w:rFonts w:ascii="Calibri" w:hAnsi="Calibri"/>
          <w:b/>
          <w:color w:val="4A6B25"/>
          <w:sz w:val="20"/>
        </w:rPr>
        <w:t xml:space="preserve">3. </w:t>
      </w:r>
      <w:r>
        <w:rPr>
          <w:rFonts w:ascii="Calibri" w:hAnsi="Calibri"/>
          <w:b w:val="0"/>
          <w:color w:val="3A4A28"/>
          <w:sz w:val="20"/>
        </w:rPr>
        <w:t>Permanent CEO appointment and full Chesapeake-Southwestern integration completion unlocking merger synergies and providing strategic clarity for the combined $22B enterprise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Natural gas price cyclicality — the Q1 2026 earnings surge was driven by favorable pricing; a return to sub-$3 Henry Hub gas prices could compress margins significantly and pressure the dividend despite the conservative 23.7% payout ratio</w:t>
      </w:r>
    </w:p>
    <w:p>
      <w:pPr>
        <w:spacing w:before="40" w:after="40"/>
        <w:ind w:left="283"/>
      </w:pPr>
      <w:r>
        <w:rPr>
          <w:rFonts w:ascii="Calibri" w:hAnsi="Calibri"/>
          <w:b/>
          <w:color w:val="4A6B25"/>
          <w:sz w:val="20"/>
        </w:rPr>
        <w:t xml:space="preserve">2. </w:t>
      </w:r>
      <w:r>
        <w:rPr>
          <w:rFonts w:ascii="Calibri" w:hAnsi="Calibri"/>
          <w:b w:val="0"/>
          <w:color w:val="3A4A28"/>
          <w:sz w:val="20"/>
        </w:rPr>
        <w:t>CEO firing 16 months post-merger and current interim CEO arrangement creates leadership vacuum during critical integration — Dell'Osso's departure to competitor Gulfport Energy and headquarters relocation to Houston compound organizational disruption [5]</w:t>
      </w:r>
    </w:p>
    <w:p>
      <w:pPr>
        <w:spacing w:before="40" w:after="40"/>
        <w:ind w:left="283"/>
      </w:pPr>
      <w:r>
        <w:rPr>
          <w:rFonts w:ascii="Calibri" w:hAnsi="Calibri"/>
          <w:b/>
          <w:color w:val="4A6B25"/>
          <w:sz w:val="20"/>
        </w:rPr>
        <w:t xml:space="preserve">3. </w:t>
      </w:r>
      <w:r>
        <w:rPr>
          <w:rFonts w:ascii="Calibri" w:hAnsi="Calibri"/>
          <w:b w:val="0"/>
          <w:color w:val="3A4A28"/>
          <w:sz w:val="20"/>
        </w:rPr>
        <w:t>Energy transition and decarbonization policies pose long-term structural demand risk for natural gas, despite the near-term AI data center tailwind — the net zero 2035 commitment acknowledges this risk but does not eliminate it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Expand Energy's core business — drilling, extracting, processing, and transporting natural gas from shale formations — is a physical-world operation that AI structurally cannot displace [1][2]. The company operates physical wells, pipelines, and processing facilities across the Haynesville and Appalachian basins. AI cannot substitute for the physical extraction of hydrocarbons from underground formations. More significantly, AI is actively INCREASING demand for natural gas: data center power consumption is surging as hyperscalers (Microsoft, Google, Amazon) deploy AI infrastructure at scale, and natural gas power generation is the primary source of reliable, dispatchable baseload electricity for these facilities. The company's CFO explicitly cited AI power generation as a key demand driver alongside industrial and global LNG demand [1]. Expand Energy's position as the largest independent gas producer makes it a direct beneficiary of AI-driven electricity demand growth. No analysts have flagged AI as a displacement risk. AI Opportunity (0/1): While Expand Energy benefits enormously from AI-driven demand for natural gas power, the company itself does not generate revenue from AI products or services — it is an indirect beneficiary, not an AI vendor.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Expand Energy Q1 2026 Earnings Release — Revenue $4.39B, EPS $3.83, FCF $1.7B, EBITDA Margin 51%, April 2026</w:t>
      </w:r>
    </w:p>
    <w:p>
      <w:pPr>
        <w:spacing w:before="20" w:after="20"/>
        <w:ind w:left="170"/>
      </w:pPr>
      <w:r>
        <w:rPr>
          <w:rFonts w:ascii="Calibri" w:hAnsi="Calibri"/>
          <w:b/>
          <w:color w:val="4A6B25"/>
          <w:sz w:val="15"/>
        </w:rPr>
        <w:t xml:space="preserve">2. </w:t>
      </w:r>
      <w:r>
        <w:rPr>
          <w:rFonts w:ascii="Calibri" w:hAnsi="Calibri"/>
          <w:b w:val="0"/>
          <w:color w:val="3A4A28"/>
          <w:sz w:val="17"/>
        </w:rPr>
        <w:t>Expand Energy Leadership Changes — CEO Dell'Osso Fired February 2026, Interim CEO Wichterich, HQ Relocation to Houston, Dell'Osso to Gulfport Energy May 2026 — Seeking Alpha, Marcellus Drilling News, Rigzone, 2026</w:t>
      </w:r>
    </w:p>
    <w:p>
      <w:pPr>
        <w:spacing w:before="20" w:after="20"/>
        <w:ind w:left="170"/>
      </w:pPr>
      <w:r>
        <w:rPr>
          <w:rFonts w:ascii="Calibri" w:hAnsi="Calibri"/>
          <w:b/>
          <w:color w:val="4A6B25"/>
          <w:sz w:val="15"/>
        </w:rPr>
        <w:t xml:space="preserve">3. </w:t>
      </w:r>
      <w:r>
        <w:rPr>
          <w:rFonts w:ascii="Calibri" w:hAnsi="Calibri"/>
          <w:b w:val="0"/>
          <w:color w:val="3A4A28"/>
          <w:sz w:val="17"/>
        </w:rPr>
        <w:t>Expand Energy LNG Strategy — Delfin FLNG 20-Year Offtake Agreement, Sustainability Report, RSG Certification, 2025-2026</w:t>
      </w:r>
    </w:p>
    <w:p>
      <w:pPr>
        <w:spacing w:before="20" w:after="20"/>
        <w:ind w:left="170"/>
      </w:pPr>
      <w:r>
        <w:rPr>
          <w:rFonts w:ascii="Calibri" w:hAnsi="Calibri"/>
          <w:b/>
          <w:color w:val="4A6B25"/>
          <w:sz w:val="15"/>
        </w:rPr>
        <w:t xml:space="preserve">4. </w:t>
      </w:r>
      <w:r>
        <w:rPr>
          <w:rFonts w:ascii="Calibri" w:hAnsi="Calibri"/>
          <w:b w:val="0"/>
          <w:color w:val="3A4A28"/>
          <w:sz w:val="17"/>
        </w:rPr>
        <w:t>StockAnalysis.com, GuruFocus — EXE Financial Statistics, Balance Sheet, Dividend History, Analyst Targets, accessed August 2026</w:t>
      </w:r>
    </w:p>
    <w:p>
      <w:pPr>
        <w:spacing w:before="20" w:after="20"/>
        <w:ind w:left="170"/>
      </w:pPr>
      <w:r>
        <w:rPr>
          <w:rFonts w:ascii="Calibri" w:hAnsi="Calibri"/>
          <w:b/>
          <w:color w:val="4A6B25"/>
          <w:sz w:val="15"/>
        </w:rPr>
        <w:t xml:space="preserve">5. </w:t>
      </w:r>
      <w:r>
        <w:rPr>
          <w:rFonts w:ascii="Calibri" w:hAnsi="Calibri"/>
          <w:b w:val="0"/>
          <w:color w:val="3A4A28"/>
          <w:sz w:val="17"/>
        </w:rPr>
        <w:t>Expand Energy Q2 2026 Earnings — Revenue $2.96B (+5.4% YoY), Non-GAAP EPS $1.33 (beat by 19.1%), $1B Buyback Authorization, $1.3B Debt Reduction — StockStory, 247 Wall St, July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