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EXLS</w:t>
      </w:r>
      <w:r>
        <w:rPr>
          <w:rFonts w:ascii="Calibri" w:hAnsi="Calibri"/>
          <w:b/>
          <w:color w:val="1A2010"/>
          <w:sz w:val="40"/>
        </w:rPr>
        <w:t xml:space="preserve">  ExlService Holdings, Inc.</w:t>
      </w:r>
    </w:p>
    <w:p>
      <w:pPr>
        <w:spacing w:after="120"/>
      </w:pPr>
      <w:r>
        <w:rPr>
          <w:rFonts w:ascii="Calibri" w:hAnsi="Calibri"/>
          <w:b/>
          <w:color w:val="6E8450"/>
          <w:sz w:val="18"/>
        </w:rPr>
        <w:t>GROWTH SLEEVE · 2026-09-12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United States</w:t>
      </w:r>
    </w:p>
    <w:p>
      <w:pPr>
        <w:spacing w:after="80"/>
      </w:pPr>
      <w:r>
        <w:rPr>
          <w:rFonts w:ascii="Calibri" w:hAnsi="Calibri"/>
          <w:b w:val="0"/>
          <w:color w:val="3A4A28"/>
          <w:sz w:val="20"/>
        </w:rPr>
        <w:t>ExlService Holdings operates as a global data and artificial intelligence company across Insurance; Healthcare and Life Sciences; Banking, Capital Markets, and Diversified Industries; and International Growth Markets segments. The company provides digital operations, analytics-driven services, and AI-led transformation solutions. Founded in 1999, EXL has transformed from a traditional BPO firm to a data/AI-led enterprise with 61% of revenue now from Data and AI-led services. Q2 2026 revenue reached $595M (+16% YoY) and FY2026 guidance was raised to $2.39-$2.415B. Headquartered in New York.</w:t>
      </w:r>
    </w:p>
    <w:p>
      <w:r>
        <w:rPr>
          <w:rFonts w:ascii="Calibri" w:hAnsi="Calibri"/>
          <w:b/>
          <w:color w:val="6E8450"/>
          <w:sz w:val="18"/>
        </w:rPr>
        <w:t>67,000 Employees · https://www.exlservice.com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EXL's transformation from legacy BPO to data/AI-led enterprise continued accelerating through Q2 2026 — revenue reached $595M (+16% YoY) with Data and AI-led revenue now representing 61% of total, insurance growing 15% and healthcare growing 22% YoY [1][2]. FY2026 guidance was raised twice to $2.39-$2.415B (14-16% growth) and adjusted EPS of $2.25-$2.29 (16-18% growth), demonstrating sustained execution. AI Deployment (2/2): EXL's dedicated AI Innovation Lab reports a 90% success rate on enterprise AI initiatives versus an industry-wide ~70% failure rate, and CEO Rohit Kapoor publicly frames AI as expanding EXL's total addressable market [3]. The company held an Investor Day in May 2026 outlining an AI- and data-led model supported by ongoing acquisitions and balanced capital allocation. Market Share (2/2): EXL was named a Leader in the 2025 Gartner Magic Quadrant for Finance and Accounting BPO, a third-party-validated category leadership position, and the company's AI-led repositioning is outpacing traditional IT services peers [4]. Product Pipeline (1/2): Double guidance raise and Investor Day visibility provide revenue trajectory confidence, but no specific dated next-generation product beyond continued AI Innovation Lab output was identified [1]. R&amp;D Intensity (1/1): The dedicated AI Innovation Lab investment, including a cross-functional AI steering committee and specialized AI talent, is above typical BPO-industry R&amp;D commitment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EXL describes its culture as guided by 'collaboration, innovation, excellence, integrity, and respect' — standard corporate values language that is interchangeable with most IT services peers, without a distinctive articulated purpose beyond commercial transformation [5]. Community Impact (2/2): EXL earned an EcoVadis Gold sustainability rating (top 4% of assessed companies), was named to Newsweek's 'America's Most Responsible Companies' list for a second consecutive year, transitioned India/UK delivery centers to 100% green energy with rooftop solar, achieved ISO 14001:2015 certification worldwide, and has Science-Based Targets Initiative validated emissions targets with board-level oversight of AI governance [6]. Employee Retention (0/2): Glassdoor shows 60% would recommend EXL to a friend with culture/values rated 3.3/5, and some reviews cite leadership transitioning from BPO operations into digital roles 'without sufficient domain expertise' — average, not standout [3]. Insider Buying (0/2): No evidence of meaningful net insider buying was identified; insiders were modest net sellers over the trailing 12 months [7].</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32% is well inside the 70% target (score 1.0), ROE of 24.7% comfortably exceeds the 15% target (score 1.0 with 2x weight), and revenue growth of 16% YoY with a 5-year CAGR of ~18% both clear the 10% target [8]. The stock has rallied 25% from $28 to $35 since the July screen, expanding Forward P/E from 11.2x to 21.44x (score 0.96) and PEG from 0.90 to 1.55 (score 0.73 with 2x weight), which are the primary drags. Profit margin of 11.7% remains well below the 20% target (score 0.59), reflecting the structural margin profile of a services business versus pure software. Liquidity floor easily cleared: ~1.56M average daily volume at $35.07 yields roughly $55M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EXL's transformation from a 27-year-old transactional BPO business toward a majority AI/data-led revenue mix is a genuine, quantified existential pivot rather than marketing repositioning — 61% of revenue now comes from Data/AI-led services, growing 28% YoY. But Sinek would note the company still lacks an articulated cause beyond commercial transformation, competitive positioning is framed through rankings rather than rival acknowledgment, and modest insider selling alongside average Glassdoor sentiment place it in solidly mixed territory.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EXL's public narrative centers on using 'data and AI' to transform enterprise operations, a real strategic conviction held by CEO Kapoor across the company's multi-year transition, but it reads as a business strategy rather than a resilient, service-oriented cause bigger than the company itself [1][3].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Glassdoor's 60% recommend rate and 3.3/5 culture score are adequate but unremarkable for a 67,000-employee IT services firm, with some reviews flagging friction from leadership transitioning into digital roles without deep technical grounding [3]. CEO Kapoor has led the company since 2008, providing 18 years of leadership continuity, and the IdeaTank and Venture Labs innovation programs suggest some empowerment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EXL publicly acknowledging competitors' strengths; competitive positioning is framed through third-party rankings (Gartner Leader status) and outperformance metrics rather than direct rival engagement or self-improvement inspiration from competitors [4].</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shift of a 27-year-old, historically labor-arbitrage BPO business to 61% AI/data-led revenue is a genuine, quantified reinvention of the company's economic engine — not an incremental adjustment but a fundamental change in what the company sells and how it creates value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in an AI Innovation Lab and actively cannibalizing the economics of legacy headcount-based BPO revenue in favor of AI-led services carries real near-term margin and staffing tension. The May 2026 Investor Day explicitly outlined ongoing AI-led M&amp;A strategy, demonstrating willingness to invest ahead of returns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EXL's data-and-AI-led transformation is producing accelerating results: Q2 2026 revenue grew 16% to $595M with Data/AI-led services now 61% of total, insurance +15% and healthcare +22% YoY, prompting management to raise FY2026 guidance twice to $2.39-$2.415B revenue and $2.25-$2.29 adjusted EPS (+16-18%) [1][2]. The company was named a Leader in Gartner's 2025 Magic Quadrant for Finance and Accounting BPO, and a dedicated AI Innovation Lab reports a 90% AI-initiative success rate versus ~70% industry failure rate [3][4]. Infrastructure scores 9 with D/E of 32%, ROE of 24.7%, and revenue growth of 16% YoY, while the Inspire Impact Score of 44 (ALIGNED) makes this one of the more faith-compatible holdings in the screen universe [6]. CEO Rohit Kapoor's 18-year tenure provides exceptional leadership continuity through the transformation.</w:t>
      </w:r>
    </w:p>
    <w:p>
      <w:pPr>
        <w:spacing w:after="120"/>
      </w:pPr>
      <w:r>
        <w:rPr>
          <w:rFonts w:ascii="Calibri" w:hAnsi="Calibri"/>
          <w:b w:val="0"/>
          <w:color w:val="3A4A28"/>
          <w:sz w:val="20"/>
        </w:rPr>
        <w:t>The bear case centers on valuation expansion, margin structure, and legacy BPO exposure. The stock has rallied 25% from $28 to $35 since July, expanding Forward P/E from 11.2x to 21.44x and PEG from 0.90 to 1.55 — pricing in significant continued growth at a multiple that now requires sustained execution [8]. Profit margin of 11.7% remains well below the Infrastructure algorithm's 20% target, reflecting the structural margin profile of an IT services business that is unlikely to reach pure software profitability even as AI-led revenue grows. The ~39% of revenue still tied to legacy transactional BPO work is the segment analysts specifically flag as exposed to agentic AI disruption of the broader $300B outsourcing industry — the same AI tools EXL deploys for clients could eventually be turned against its own lower-value service lines [3]. The Inspiration score of 3 reflects the absence of a distinctive purpose beyond commercial transformation.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Data/AI-led revenue acceleration (61% of total, growing faster than legacy BPO) validating the transformation and supporting further guidance raises toward $2.4B+ in FY2026 [1][2]</w:t>
      </w:r>
    </w:p>
    <w:p>
      <w:pPr>
        <w:spacing w:before="40" w:after="40"/>
        <w:ind w:left="283"/>
      </w:pPr>
      <w:r>
        <w:rPr>
          <w:rFonts w:ascii="Calibri" w:hAnsi="Calibri"/>
          <w:b/>
          <w:color w:val="4A6B25"/>
          <w:sz w:val="20"/>
        </w:rPr>
        <w:t xml:space="preserve">2. </w:t>
      </w:r>
      <w:r>
        <w:rPr>
          <w:rFonts w:ascii="Calibri" w:hAnsi="Calibri"/>
          <w:b w:val="0"/>
          <w:color w:val="3A4A28"/>
          <w:sz w:val="20"/>
        </w:rPr>
        <w:t>AI Innovation Lab output scaling into productized AI offerings that command premium, IP-based pricing versus legacy per-headcount BPO contracts, with a May 2026 Investor Day roadmap for AI-led M&amp;A [3]</w:t>
      </w:r>
    </w:p>
    <w:p>
      <w:pPr>
        <w:spacing w:before="40" w:after="40"/>
        <w:ind w:left="283"/>
      </w:pPr>
      <w:r>
        <w:rPr>
          <w:rFonts w:ascii="Calibri" w:hAnsi="Calibri"/>
          <w:b/>
          <w:color w:val="4A6B25"/>
          <w:sz w:val="20"/>
        </w:rPr>
        <w:t xml:space="preserve">3. </w:t>
      </w:r>
      <w:r>
        <w:rPr>
          <w:rFonts w:ascii="Calibri" w:hAnsi="Calibri"/>
          <w:b w:val="0"/>
          <w:color w:val="3A4A28"/>
          <w:sz w:val="20"/>
        </w:rPr>
        <w:t>Healthcare vertical growing 22% YoY and insurance +15% as domain-specific AI solutions penetrate large-enterprise clients in heavily regulated industries where switching costs are high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The ~39% of revenue still tied to legacy transactional BPO work is the segment analysts specifically flag as exposed to agentic AI disruption of the $300B outsourcing industry as enterprise clients automate simpler processes [3]</w:t>
      </w:r>
    </w:p>
    <w:p>
      <w:pPr>
        <w:spacing w:before="40" w:after="40"/>
        <w:ind w:left="283"/>
      </w:pPr>
      <w:r>
        <w:rPr>
          <w:rFonts w:ascii="Calibri" w:hAnsi="Calibri"/>
          <w:b/>
          <w:color w:val="4A6B25"/>
          <w:sz w:val="20"/>
        </w:rPr>
        <w:t xml:space="preserve">2. </w:t>
      </w:r>
      <w:r>
        <w:rPr>
          <w:rFonts w:ascii="Calibri" w:hAnsi="Calibri"/>
          <w:b w:val="0"/>
          <w:color w:val="3A4A28"/>
          <w:sz w:val="20"/>
        </w:rPr>
        <w:t>Forward P/E expanded from 11.2x to 21.44x on a 25% stock rally, pricing in sustained double-digit growth that leaves limited margin for execution missteps or macro-driven client spending slowdowns [8]</w:t>
      </w:r>
    </w:p>
    <w:p>
      <w:pPr>
        <w:spacing w:before="40" w:after="40"/>
        <w:ind w:left="283"/>
      </w:pPr>
      <w:r>
        <w:rPr>
          <w:rFonts w:ascii="Calibri" w:hAnsi="Calibri"/>
          <w:b/>
          <w:color w:val="4A6B25"/>
          <w:sz w:val="20"/>
        </w:rPr>
        <w:t xml:space="preserve">3. </w:t>
      </w:r>
      <w:r>
        <w:rPr>
          <w:rFonts w:ascii="Calibri" w:hAnsi="Calibri"/>
          <w:b w:val="0"/>
          <w:color w:val="3A4A28"/>
          <w:sz w:val="20"/>
        </w:rPr>
        <w:t>Profit margin of 11.7% is structurally constrained by the labor-intensive services model and unlikely to reach the 20% target, limiting upside on the Infrastructure dimension even as the business transforms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EXL is actively converting AI from threat to growth engine — 61% of revenue is now Data/AI-led and growing faster than legacy BPO, with deep regulatory-complexity domain expertise in insurance claims, healthcare payment integrity, and banking compliance that is harder to fully automate than generic back-office processing [1][2]. However, the remaining ~39% of revenue tied to legacy transactional BPO work remains genuinely exposed to agentic AI automation as clients bring simpler processes in-house, and analysts have flagged that 'AI may unbundle BPOs, disrupt the $300B outsourcing industry' [3]. AI Opportunity (1/1): Quantified and explicit — Data and AI-led revenues represented 61% of total revenue in Q2 2026, directly cited by management as the primary growth engine, with insurance +15% and healthcare +22% YoY demonstrating AI-led demand acceleration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EXL Reports 2026 First Quarter Results — Revenue $570.4M (+13.8% YoY), Data/AI-led 60% of Revenue — ir.exlservice.com, April 2026</w:t>
      </w:r>
    </w:p>
    <w:p>
      <w:pPr>
        <w:spacing w:before="20" w:after="20"/>
        <w:ind w:left="170"/>
      </w:pPr>
      <w:r>
        <w:rPr>
          <w:rFonts w:ascii="Calibri" w:hAnsi="Calibri"/>
          <w:b/>
          <w:color w:val="4A6B25"/>
          <w:sz w:val="15"/>
        </w:rPr>
        <w:t xml:space="preserve">2. </w:t>
      </w:r>
      <w:r>
        <w:rPr>
          <w:rFonts w:ascii="Calibri" w:hAnsi="Calibri"/>
          <w:b w:val="0"/>
          <w:color w:val="3A4A28"/>
          <w:sz w:val="17"/>
        </w:rPr>
        <w:t>EXL Reports 2026 Second Quarter Results — Revenue $595M (+16% YoY), Raised FY2026 Guidance to $2.39-$2.415B, Data/AI-led 61% — ir.exlservice.com, July 2026</w:t>
      </w:r>
    </w:p>
    <w:p>
      <w:pPr>
        <w:spacing w:before="20" w:after="20"/>
        <w:ind w:left="170"/>
      </w:pPr>
      <w:r>
        <w:rPr>
          <w:rFonts w:ascii="Calibri" w:hAnsi="Calibri"/>
          <w:b/>
          <w:color w:val="4A6B25"/>
          <w:sz w:val="15"/>
        </w:rPr>
        <w:t xml:space="preserve">3. </w:t>
      </w:r>
      <w:r>
        <w:rPr>
          <w:rFonts w:ascii="Calibri" w:hAnsi="Calibri"/>
          <w:b w:val="0"/>
          <w:color w:val="3A4A28"/>
          <w:sz w:val="17"/>
        </w:rPr>
        <w:t>EXL AI Innovation Lab, CEO Rohit Kapoor CNBC Commentary, Investor Day May 2026 — Simply Wall St, Seeking Alpha, 2025-2026</w:t>
      </w:r>
    </w:p>
    <w:p>
      <w:pPr>
        <w:spacing w:before="20" w:after="20"/>
        <w:ind w:left="170"/>
      </w:pPr>
      <w:r>
        <w:rPr>
          <w:rFonts w:ascii="Calibri" w:hAnsi="Calibri"/>
          <w:b/>
          <w:color w:val="4A6B25"/>
          <w:sz w:val="15"/>
        </w:rPr>
        <w:t xml:space="preserve">4. </w:t>
      </w:r>
      <w:r>
        <w:rPr>
          <w:rFonts w:ascii="Calibri" w:hAnsi="Calibri"/>
          <w:b w:val="0"/>
          <w:color w:val="3A4A28"/>
          <w:sz w:val="17"/>
        </w:rPr>
        <w:t>EXL Named a Leader in 2025 Gartner Magic Quadrant for Finance and Accounting BPO — EXL Newsroom</w:t>
      </w:r>
    </w:p>
    <w:p>
      <w:pPr>
        <w:spacing w:before="20" w:after="20"/>
        <w:ind w:left="170"/>
      </w:pPr>
      <w:r>
        <w:rPr>
          <w:rFonts w:ascii="Calibri" w:hAnsi="Calibri"/>
          <w:b/>
          <w:color w:val="4A6B25"/>
          <w:sz w:val="15"/>
        </w:rPr>
        <w:t xml:space="preserve">5. </w:t>
      </w:r>
      <w:r>
        <w:rPr>
          <w:rFonts w:ascii="Calibri" w:hAnsi="Calibri"/>
          <w:b w:val="0"/>
          <w:color w:val="3A4A28"/>
          <w:sz w:val="17"/>
        </w:rPr>
        <w:t>EXL About Page — Mission, Values, Culture, 67,000 Employees — exlservice.com,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EXL Sustainability — EcoVadis Gold Rating, Newsweek Most Responsible Companies, SBTi Validated Targets, ISO 14001 — 2025-2026</w:t>
      </w:r>
    </w:p>
    <w:p>
      <w:pPr>
        <w:spacing w:before="20" w:after="20"/>
        <w:ind w:left="170"/>
      </w:pPr>
      <w:r>
        <w:rPr>
          <w:rFonts w:ascii="Calibri" w:hAnsi="Calibri"/>
          <w:b/>
          <w:color w:val="4A6B25"/>
          <w:sz w:val="15"/>
        </w:rPr>
        <w:t xml:space="preserve">7. </w:t>
      </w:r>
      <w:r>
        <w:rPr>
          <w:rFonts w:ascii="Calibri" w:hAnsi="Calibri"/>
          <w:b w:val="0"/>
          <w:color w:val="3A4A28"/>
          <w:sz w:val="17"/>
        </w:rPr>
        <w:t>Simply Wall St, StockTitan — EXLS Insider Trading Summary, accessed September 2026</w:t>
      </w:r>
    </w:p>
    <w:p>
      <w:pPr>
        <w:spacing w:before="20" w:after="20"/>
        <w:ind w:left="170"/>
      </w:pPr>
      <w:r>
        <w:rPr>
          <w:rFonts w:ascii="Calibri" w:hAnsi="Calibri"/>
          <w:b/>
          <w:color w:val="4A6B25"/>
          <w:sz w:val="15"/>
        </w:rPr>
        <w:t xml:space="preserve">8. </w:t>
      </w:r>
      <w:r>
        <w:rPr>
          <w:rFonts w:ascii="Calibri" w:hAnsi="Calibri"/>
          <w:b w:val="0"/>
          <w:color w:val="3A4A28"/>
          <w:sz w:val="17"/>
        </w:rPr>
        <w:t>StockAnalysis, GuruFocus, Yahoo Finance — EXLS Key Statistics: Forward P/E 21.44x, PEG 1.55, D/E 32%, ROE 24.7%, Profit Margin 11.7%, Stock Price $35.07,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