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FAF</w:t>
      </w:r>
      <w:r>
        <w:rPr>
          <w:rFonts w:ascii="Calibri" w:hAnsi="Calibri"/>
          <w:b/>
          <w:color w:val="1A2010"/>
          <w:sz w:val="40"/>
        </w:rPr>
        <w:t xml:space="preserve">  First American Financial Corporation</w:t>
      </w:r>
    </w:p>
    <w:p>
      <w:pPr>
        <w:spacing w:after="120"/>
      </w:pPr>
      <w:r>
        <w:rPr>
          <w:rFonts w:ascii="Calibri" w:hAnsi="Calibri"/>
          <w:b/>
          <w:color w:val="6E8450"/>
          <w:sz w:val="18"/>
        </w:rPr>
        <w:t>DIVIDEND SLEEVE · 2026-09-28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Specialty · NYSE · United States</w:t>
      </w:r>
    </w:p>
    <w:p>
      <w:pPr>
        <w:spacing w:after="80"/>
      </w:pPr>
      <w:r>
        <w:rPr>
          <w:rFonts w:ascii="Calibri" w:hAnsi="Calibri"/>
          <w:b w:val="0"/>
          <w:color w:val="3A4A28"/>
          <w:sz w:val="20"/>
        </w:rPr>
        <w:t>First American Financial Corporation is the second-largest title insurance company in the United States, founded in 1889 and headquartered in Santa Ana, California. The company operates through Title Insurance and Services and Home Warranty segments, providing title insurance, closing/escrow services, appraisals, property data, and home warranty products across the U.S., Canada, U.K., Australia, and other international markets. Full-year 2025 revenue was $7.45B with net income of $621.8M. Q2 2026 revenue reached $2.1B (+15% YoY), with management guiding toward a record year in commercial and improving residential volumes under new CEO Mark Seaton.</w:t>
      </w:r>
    </w:p>
    <w:p>
      <w:r>
        <w:rPr>
          <w:rFonts w:ascii="Calibri" w:hAnsi="Calibri"/>
          <w:b/>
          <w:color w:val="6E8450"/>
          <w:sz w:val="18"/>
        </w:rPr>
        <w:t>19,102 Employees · https://www.firstam.com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First American has launched multiple successful digital platforms in the last five years — Endpoint (fully digital title and escrow), Jot (digital closing tool), FirstAm IgniteRE (residential platform), and ClarityFirst (commercial real estate platform) — transforming a 137-year-old title company into a digital-first operation [1][2]. Named to Fast Company's Best Workplaces for Innovators list for two consecutive years, the only title/settlement company to achieve this. AI Deployment (1/2): Chief Innovation Officer Paul Hurst (venture and tech executive background) was appointed to drive real estate innovation, with AI tools advancing title search automation, risk assessment, and document processing, though no specific quantified AI revenue or cost savings have been disclosed [2]. Market Share (2/2): FAF is the second-largest title insurance company in the United States behind Fidelity National Financial, with approximately 25% market share in a concentrated industry. Q4 2025 commercial revenue grew 35% YoY, and the company expects a record commercial year in 2026, reflecting active share gains [1]. Product Pipeline (1/2): Named digital platforms (Endpoint, ClarityFirst, IgniteRE, Jot) represent an ongoing innovation pipeline with continued feature expansion, though specific next-generation products with launch dates and quantified revenue visibility have not been publicly detailed. R&amp;D Intensity (1/1): FAF's technology investment significantly exceeds the title insurance industry average, with dedicated innovation leadership and multiple proprietary digital platforms in a sector where most competitors rely on legacy systems.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First American's 'People First' culture is specific, thoughtful, and validated by external recognition — the company has been named to the Fortune 100 Best Companies to Work For list for ten consecutive years, a distinction that demonstrates genuine institutional commitment to its stated purpose [2][3]. The mission reflects intentionality about employee wellbeing, customer service, and community that differentiates from title insurance peers. Community Impact (1/2): First American maintains corporate responsibility programs including environmental commitments (greenhouse gas emissions tracking, energy reduction initiatives, waste management), but specific dollar amounts for charitable giving or community investment programs were not identified in the research [3]. Employee Retention (2/2): The ten consecutive years on Fortune's 100 Best Companies to Work For list is exceptional evidence of employee engagement and retention. The company describes its culture as fostering 'highly engaged and passionate employees' among its 14,000+ workforce, and CEO transitions have been handled smoothly (Mark Seaton succeeding Kenneth DeGiorgio in April 2025 after 12 years as CFO) [2]. Insider Buying (0/2): No evidence of meaningful net insider buying by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the Dividend framework. D/E of 49.4% is well below the 70% target, scoring perfectly [4]. ROE of 13.85% scores 0.92 against the 15% target — solid but not exceptional given the capital-light title insurance model. Revenue growth YoY of 15% exceeds the 10% target, driven by Q4 2025 revenue up 22% and Q1 2026 up 16% [1]. Forward P/E of 8.97x is deeply attractive at well below the 20x target. Profit margin of 9.33% scores 0.47 against the 20% target — typical for title insurance which operates on thin margins with high revenue throughput. Payout ratio of 30.5% is below the 40% target. Consecutive years paid (~16 years since 2010 spinoff) and consecutive years of dividend growth (~14 years) both score perfectly. The primary drags are the cyclical 5-year revenue CAGR of approximately -2% (reflecting the 2021 peak-to-current cyclical decline) and the moderate profit margin. Liquidity easily clears at $52.4M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First American demonstrates mixed infinite-game characteristics. The 137-year operating history and ten consecutive years on Fortune's Best Companies list reflect institutional durability and genuine commitment to its 'People First' culture. The smooth CEO transition from DeGiorgio to Seaton in 2025 shows organizational maturity. However, the business is fundamentally tied to real estate transaction cycles rather than a transformative vision, and the company's competitive strategy focuses on market share defense against Fidelity National Financial rather than self-improvement through competition.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First American's 'People First' culture is genuine, partially lived, and validated by a decade of Fortune Best Companies recognition [2]. The company connects its 137-year history to a purpose of facilitating the American dream of homeownership through secure property transactions. This is distinctive and has shaped strategic decisions (investing in digital transformation to improve customer experience). However, 'facilitating real estate transactions' is ultimately a service mission tied to market cycles, not a transformative vision of a future that doesn't yet exist.</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Ten consecutive years on Fortune's 100 Best Companies to Work For list is exceptional evidence of a high-trust organization [2]. The company's 'People First' culture encompasses 14,000+ employees whose diversity and engagement are cited as core strengths. The CEO transition from DeGiorgio to Seaton (who served 12 years as CFO before promotion) demonstrates leadership continuity and organizational stability. Employee engagement is demonstrably above industry average by the most rigorous available benchmark.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First American competes primarily against Fidelity National Financial for #1 and #2 title insurance market share positions. No evidence was found of management acknowledging FNF's strengths as motivation for self-improvement. The competitive dynamic appears oriented toward market share defense and commercial revenue growth ('record year in commercial') rather than competitive learning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First American has evolved from a traditional title insurance company to a digital-first platform through Endpoint, ClarityFirst, IgniteRE, and Jot — meaningful digital transformation for a 137-year-old company [2]. The appointment of a Chief Innovation Officer from the venture capital world signals willingness to evolve. However, the core business model (title insurance and settlement services) remains fundamentally unchanged; digital tools have enhanced delivery but not transformed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First American invested significantly in digital transformation during cyclical downturns (2022-2024 housing slowdown), building Endpoint, Jot, and ClarityFirst platforms while competitors retrenched [1][2]. The appointment of a venture-background Chief Innovation Officer demonstrates willingness to bring outside perspectives. However, no evidence of sacrificing near-term earnings for truly transformative long-term capability beyond incremental digitization.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American Financial at 8.97x forward earnings represents a deeply undervalued title insurance franchise with a 137-year operating history and structural competitive moats. Q2 2026 revenue of $2.1B (+15% YoY) accelerated from Q4 2025 (+22%) as the housing market recovers, and management guides toward a record commercial year with moderate purchase growth and meaningful refinance pickup [1]. The 3.68% dividend yield at a 30.5% payout ratio is well-covered and supported by 14 consecutive years of growth. Ten consecutive years on Fortune's 100 Best Companies list and the smooth CEO transition to former CFO Mark Seaton suggest institutional stability. Proprietary title plant databases and regulatory requirements create a durable competitive moat that AI enhances rather than threatens.</w:t>
      </w:r>
    </w:p>
    <w:p>
      <w:pPr>
        <w:spacing w:after="120"/>
      </w:pPr>
      <w:r>
        <w:rPr>
          <w:rFonts w:ascii="Calibri" w:hAnsi="Calibri"/>
          <w:b w:val="0"/>
          <w:color w:val="3A4A28"/>
          <w:sz w:val="20"/>
        </w:rPr>
        <w:t>The primary risk is cyclical exposure — FAF's revenue swung from ~$9.5B (2021 peak) to ~$6.5B (2023 trough) before recovering to $7.45B in 2025, producing a negative 5-year revenue CAGR that reflects the housing market cycle rather than structural decline [1]. ROE of 13.85% is below the 15% target and profit margin of 9.33% reflects the high-throughput, low-margin nature of title insurance, limiting capital efficiency despite strong revenue growth. The PEG ratio of 2.98x suggests limited earnings growth expectations relative to valuation. Rising interest rates or a housing market reversal could re-compress revenue toward trough levels. The Inspire Impact Score of -49 (MISALIGNED) may limit allocation for faith-based investors despite strong governance and workplace practices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recovery accelerating — Q2 2026 revenue up 15% YoY to $2.1B with management guiding toward record commercial year, moderate purchase growth, and meaningful refinance activity pickup as rates stabilize [1]</w:t>
      </w:r>
    </w:p>
    <w:p>
      <w:pPr>
        <w:spacing w:before="40" w:after="40"/>
        <w:ind w:left="283"/>
      </w:pPr>
      <w:r>
        <w:rPr>
          <w:rFonts w:ascii="Calibri" w:hAnsi="Calibri"/>
          <w:b/>
          <w:color w:val="4A6B25"/>
          <w:sz w:val="20"/>
        </w:rPr>
        <w:t xml:space="preserve">2. </w:t>
      </w:r>
      <w:r>
        <w:rPr>
          <w:rFonts w:ascii="Calibri" w:hAnsi="Calibri"/>
          <w:b w:val="0"/>
          <w:color w:val="3A4A28"/>
          <w:sz w:val="20"/>
        </w:rPr>
        <w:t>Digital transformation platforms (Endpoint, ClarityFirst, IgniteRE, Jot) driving operational efficiency and competitive differentiation as the title industry digitizes, with potential for market share gains against less-digitized competitors [2]</w:t>
      </w:r>
    </w:p>
    <w:p>
      <w:pPr>
        <w:spacing w:before="40" w:after="40"/>
        <w:ind w:left="283"/>
      </w:pPr>
      <w:r>
        <w:rPr>
          <w:rFonts w:ascii="Calibri" w:hAnsi="Calibri"/>
          <w:b/>
          <w:color w:val="4A6B25"/>
          <w:sz w:val="20"/>
        </w:rPr>
        <w:t xml:space="preserve">3. </w:t>
      </w:r>
      <w:r>
        <w:rPr>
          <w:rFonts w:ascii="Calibri" w:hAnsi="Calibri"/>
          <w:b w:val="0"/>
          <w:color w:val="3A4A28"/>
          <w:sz w:val="20"/>
        </w:rPr>
        <w:t>Deeply discounted valuation at 8.97x forward earnings with 3.68% dividend yield at 30.5% payout ratio offers margin of safety if housing volumes continue recovering from 2023 trough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Cyclical housing market exposure — revenue declined from ~$9.5B (2021) to ~$6.5B (2023), and any reversal in mortgage rates or housing affordability could re-compress revenue from current $8B run-rate toward trough levels [1]</w:t>
      </w:r>
    </w:p>
    <w:p>
      <w:pPr>
        <w:spacing w:before="40" w:after="40"/>
        <w:ind w:left="283"/>
      </w:pPr>
      <w:r>
        <w:rPr>
          <w:rFonts w:ascii="Calibri" w:hAnsi="Calibri"/>
          <w:b/>
          <w:color w:val="4A6B25"/>
          <w:sz w:val="20"/>
        </w:rPr>
        <w:t xml:space="preserve">2. </w:t>
      </w:r>
      <w:r>
        <w:rPr>
          <w:rFonts w:ascii="Calibri" w:hAnsi="Calibri"/>
          <w:b w:val="0"/>
          <w:color w:val="3A4A28"/>
          <w:sz w:val="20"/>
        </w:rPr>
        <w:t>Thin profit margins of 9.33% and ROE of 13.85% (below 15% target) reflect structural capital efficiency limitations of the title insurance business model, capping earnings growth potential even during recovery [4]</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U.S. residential real estate transactions — regulatory changes to title insurance requirements, digital disruption of the closing process, or shift to alternative insurance products could threaten the core business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Title insurance is structurally protected from AI disruption by deep regulatory moats — every real estate transaction requires a licensed title search, title insurance policy, and often escrow/closing services that are mandated by law or lender requirements [1]. First American's competitive advantage rests on proprietary title plant databases accumulated over 137 years of operations, massive datasets that AI competitors cannot replicate or access. Physical real estate closings, notarization, and document recording involve human and legal processes that AI cannot replace. While AI can enhance title search speed and accuracy (and FAF is deploying it internally), it cannot displace the regulatory requirement for title insurance. No analysts have flagged AI as a threat to FAF's core business. AI Opportunity (1/1): First American generates revenue from AI-enhanced digital platforms including Endpoint, ClarityFirst, and IgniteRE, which incorporate machine learning for automated title searches, risk assessment, and document processing [2]. These platforms drive operational efficiency and competitive differentiation, though AI-specific revenue is not separately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American Financial Q4/FY2025 and Q1-Q2 2026 Earnings — $7.45B FY2025 revenue, $621.8M net income, Q2 2026 $2.1B (+15%), record commercial year guidance, investors.firstam.com, 2026</w:t>
      </w:r>
    </w:p>
    <w:p>
      <w:pPr>
        <w:spacing w:before="20" w:after="20"/>
        <w:ind w:left="170"/>
      </w:pPr>
      <w:r>
        <w:rPr>
          <w:rFonts w:ascii="Calibri" w:hAnsi="Calibri"/>
          <w:b/>
          <w:color w:val="4A6B25"/>
          <w:sz w:val="15"/>
        </w:rPr>
        <w:t xml:space="preserve">2. </w:t>
      </w:r>
      <w:r>
        <w:rPr>
          <w:rFonts w:ascii="Calibri" w:hAnsi="Calibri"/>
          <w:b w:val="0"/>
          <w:color w:val="3A4A28"/>
          <w:sz w:val="17"/>
        </w:rPr>
        <w:t>First American Financial Leadership and Innovation — CEO Mark Seaton appointment, CIO Paul Hurst, digital platforms (Endpoint, Jot, ClarityFirst, IgniteRE), Fortune Best Companies 10 years, NationalMortgageProfessional/Fast Company, 2024-2026</w:t>
      </w:r>
    </w:p>
    <w:p>
      <w:pPr>
        <w:spacing w:before="20" w:after="20"/>
        <w:ind w:left="170"/>
      </w:pPr>
      <w:r>
        <w:rPr>
          <w:rFonts w:ascii="Calibri" w:hAnsi="Calibri"/>
          <w:b/>
          <w:color w:val="4A6B25"/>
          <w:sz w:val="15"/>
        </w:rPr>
        <w:t xml:space="preserve">3. </w:t>
      </w:r>
      <w:r>
        <w:rPr>
          <w:rFonts w:ascii="Calibri" w:hAnsi="Calibri"/>
          <w:b w:val="0"/>
          <w:color w:val="3A4A28"/>
          <w:sz w:val="17"/>
        </w:rPr>
        <w:t>First American Financial ESG and Corporate Governance — Environmental commitments, sustainability practices, GHG emissions tracking, responsibilityreports.com/SEC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FAF key statistics: Forward P/E 8.97x, ROE 13.85%, D/E 49.4%, dividend yield 3.68%, stock price $66.27,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